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sz w:val="44"/>
        </w:rPr>
        <w:t>2022年部门预算信息公开目录</w:t>
      </w:r>
    </w:p>
    <w:p>
      <w:pPr>
        <w:jc w:val="center"/>
      </w:pPr>
    </w:p>
    <w:p>
      <w:r>
        <w:rPr>
          <w:rFonts w:ascii="方正楷体_GBK" w:hAnsi="方正楷体_GBK" w:eastAsia="方正楷体_GBK" w:cs="方正楷体_GBK"/>
          <w:b/>
          <w:sz w:val="28"/>
        </w:rPr>
        <w:t>部门预算公开表</w:t>
      </w:r>
    </w:p>
    <w:p>
      <w:pPr>
        <w:pStyle w:val="36"/>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fldChar w:fldCharType="begin"/>
      </w:r>
      <w:r>
        <w:instrText xml:space="preserve"> HYPERLINK \l "_Toc_2_2_0000000001" </w:instrText>
      </w:r>
      <w: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3</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"_Toc_2_2_0000000002" </w:instrText>
      </w:r>
      <w: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5</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"_Toc_2_2_0000000003" </w:instrText>
      </w:r>
      <w:r>
        <w:fldChar w:fldCharType="separate"/>
      </w:r>
      <w:r>
        <w:rPr>
          <w:color w:val="auto"/>
        </w:rPr>
        <w:t>部门预算支出总表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7</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"_Toc_2_2_0000000004" </w:instrText>
      </w:r>
      <w: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9</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"_Toc_2_2_0000000005" </w:instrText>
      </w:r>
      <w: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11</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"_Toc_2_2_0000000006" </w:instrText>
      </w:r>
      <w: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13</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"_Toc_2_2_0000000007" </w:instrText>
      </w:r>
      <w: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15</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"_Toc_2_2_0000000008" </w:instrText>
      </w:r>
      <w:r>
        <w:fldChar w:fldCharType="separate"/>
      </w:r>
      <w:r>
        <w:rPr>
          <w:color w:val="auto"/>
        </w:rPr>
        <w:t>部门预算国有资本经营预算财政拨款支出表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"_Toc_2_2_0000000009" </w:instrText>
      </w:r>
      <w: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17</w:t>
      </w:r>
      <w:r>
        <w:rPr>
          <w:color w:val="auto"/>
        </w:rPr>
        <w:fldChar w:fldCharType="end"/>
      </w:r>
      <w:r>
        <w:rPr>
          <w:color w:val="auto"/>
        </w:rPr>
        <w:fldChar w:fldCharType="end"/>
      </w:r>
    </w:p>
    <w:p>
      <w:r>
        <w:fldChar w:fldCharType="end"/>
      </w:r>
    </w:p>
    <w:p>
      <w:r>
        <w:rPr>
          <w:rFonts w:ascii="方正楷体_GBK" w:hAnsi="方正楷体_GBK" w:eastAsia="方正楷体_GBK" w:cs="方正楷体_GBK"/>
          <w:b/>
          <w:sz w:val="28"/>
        </w:rPr>
        <w:t>部门预算信息公开情况说明</w:t>
      </w:r>
    </w:p>
    <w:p>
      <w:pPr>
        <w:pStyle w:val="36"/>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fldChar w:fldCharType="begin"/>
      </w:r>
      <w:r>
        <w:instrText xml:space="preserve"> HYPERLINK \l "_Toc_3_3_0000000010" </w:instrText>
      </w:r>
      <w: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18</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"_Toc_3_3_0000000011" </w:instrText>
      </w:r>
      <w: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20</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"_Toc_3_3_0000000012" </w:instrText>
      </w:r>
      <w: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20</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"_Toc_3_3_0000000013" </w:instrText>
      </w:r>
      <w: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20</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"_Toc_3_3_0000000014" </w:instrText>
      </w:r>
      <w: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20</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"_Toc_3_3_0000000015" </w:instrText>
      </w:r>
      <w: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43</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"_Toc_3_3_0000000016" </w:instrText>
      </w:r>
      <w: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43</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"_Toc_3_3_0000000017" </w:instrText>
      </w:r>
      <w: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44</w:t>
      </w:r>
      <w:r>
        <w:rPr>
          <w:color w:val="auto"/>
        </w:rPr>
        <w:fldChar w:fldCharType="end"/>
      </w:r>
      <w:r>
        <w:rPr>
          <w:color w:val="auto"/>
        </w:rPr>
        <w:fldChar w:fldCharType="end"/>
      </w:r>
    </w:p>
    <w:p>
      <w:pPr>
        <w:pStyle w:val="36"/>
        <w:tabs>
          <w:tab w:val="right" w:leader="dot" w:pos="14562"/>
        </w:tabs>
        <w:rPr>
          <w:color w:val="auto"/>
        </w:rPr>
      </w:pPr>
      <w:r>
        <w:fldChar w:fldCharType="begin"/>
      </w:r>
      <w:r>
        <w:instrText xml:space="preserve"> HYPERLINK \l "_Toc_3_3_0000000018" </w:instrText>
      </w:r>
      <w: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45</w:t>
      </w:r>
      <w:r>
        <w:rPr>
          <w:color w:val="auto"/>
        </w:rPr>
        <w:fldChar w:fldCharType="end"/>
      </w:r>
      <w:r>
        <w:rPr>
          <w:color w:val="auto"/>
        </w:rP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sz w:val="72"/>
          <w:lang w:eastAsia="zh-CN"/>
        </w:rPr>
      </w:pPr>
      <w:bookmarkStart w:id="0" w:name="_Toc_2_2_0000000001"/>
    </w:p>
    <w:p>
      <w:pPr>
        <w:jc w:val="center"/>
        <w:outlineLvl w:val="1"/>
        <w:rPr>
          <w:rFonts w:ascii="方正小标宋_GBK" w:hAnsi="方正小标宋_GBK" w:eastAsia="方正小标宋_GBK" w:cs="方正小标宋_GBK"/>
          <w:sz w:val="72"/>
          <w:lang w:eastAsia="zh-CN"/>
        </w:rPr>
      </w:pPr>
    </w:p>
    <w:p>
      <w:pPr>
        <w:jc w:val="center"/>
        <w:outlineLvl w:val="1"/>
        <w:rPr>
          <w:rFonts w:ascii="方正小标宋_GBK" w:hAnsi="方正小标宋_GBK" w:eastAsia="方正小标宋_GBK" w:cs="方正小标宋_GBK"/>
          <w:sz w:val="72"/>
          <w:lang w:eastAsia="zh-CN"/>
        </w:rPr>
      </w:pPr>
    </w:p>
    <w:p>
      <w:pPr>
        <w:jc w:val="center"/>
        <w:outlineLvl w:val="1"/>
        <w:rPr>
          <w:rFonts w:ascii="方正小标宋_GBK" w:hAnsi="方正小标宋_GBK" w:eastAsia="方正小标宋_GBK" w:cs="方正小标宋_GBK"/>
          <w:sz w:val="72"/>
          <w:lang w:eastAsia="zh-CN"/>
        </w:rPr>
      </w:pPr>
    </w:p>
    <w:p>
      <w:pPr>
        <w:jc w:val="center"/>
        <w:outlineLvl w:val="1"/>
        <w:rPr>
          <w:rFonts w:ascii="方正小标宋_GBK" w:hAnsi="方正小标宋_GBK" w:eastAsia="方正小标宋_GBK" w:cs="方正小标宋_GBK"/>
          <w:sz w:val="72"/>
          <w:lang w:eastAsia="zh-CN"/>
        </w:rPr>
      </w:pPr>
    </w:p>
    <w:p>
      <w:pPr>
        <w:jc w:val="center"/>
        <w:outlineLvl w:val="1"/>
      </w:pPr>
      <w:r>
        <w:rPr>
          <w:rFonts w:ascii="方正小标宋_GBK" w:hAnsi="方正小标宋_GBK" w:eastAsia="方正小标宋_GBK" w:cs="方正小标宋_GBK"/>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222中共衡水市纪律检查委员会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9812.52</w:t>
            </w:r>
          </w:p>
        </w:tc>
        <w:tc>
          <w:tcPr>
            <w:tcW w:w="4535" w:type="dxa"/>
            <w:vAlign w:val="center"/>
          </w:tcPr>
          <w:p>
            <w:pPr>
              <w:pStyle w:val="12"/>
            </w:pPr>
            <w:r>
              <w:t>一、一般公共服务支出</w:t>
            </w:r>
          </w:p>
        </w:tc>
        <w:tc>
          <w:tcPr>
            <w:tcW w:w="2126" w:type="dxa"/>
            <w:vAlign w:val="center"/>
          </w:tcPr>
          <w:p>
            <w:pPr>
              <w:pStyle w:val="11"/>
            </w:pPr>
            <w:r>
              <w:t>8348.32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9812.52</w:t>
            </w:r>
          </w:p>
        </w:tc>
        <w:tc>
          <w:tcPr>
            <w:tcW w:w="4535" w:type="dxa"/>
            <w:vAlign w:val="center"/>
          </w:tcPr>
          <w:p>
            <w:pPr>
              <w:pStyle w:val="14"/>
            </w:pPr>
            <w:r>
              <w:t>本年支出合计</w:t>
            </w:r>
          </w:p>
        </w:tc>
        <w:tc>
          <w:tcPr>
            <w:tcW w:w="2126" w:type="dxa"/>
            <w:vAlign w:val="center"/>
          </w:tcPr>
          <w:p>
            <w:pPr>
              <w:pStyle w:val="15"/>
            </w:pPr>
            <w:r>
              <w:t>9812.52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9812.52</w:t>
            </w:r>
          </w:p>
        </w:tc>
        <w:tc>
          <w:tcPr>
            <w:tcW w:w="4535" w:type="dxa"/>
            <w:vAlign w:val="center"/>
          </w:tcPr>
          <w:p>
            <w:pPr>
              <w:pStyle w:val="14"/>
            </w:pPr>
            <w:r>
              <w:t>支出总计</w:t>
            </w:r>
          </w:p>
        </w:tc>
        <w:tc>
          <w:tcPr>
            <w:tcW w:w="2126" w:type="dxa"/>
            <w:vAlign w:val="center"/>
          </w:tcPr>
          <w:p>
            <w:pPr>
              <w:pStyle w:val="15"/>
            </w:pPr>
            <w:r>
              <w:t>9812.52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222中共衡水市纪律检查委员会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9812.52</w:t>
            </w:r>
          </w:p>
        </w:tc>
        <w:tc>
          <w:tcPr>
            <w:tcW w:w="1134" w:type="dxa"/>
            <w:vAlign w:val="center"/>
          </w:tcPr>
          <w:p>
            <w:pPr>
              <w:pStyle w:val="15"/>
            </w:pPr>
            <w:r>
              <w:t>9812.52</w:t>
            </w:r>
          </w:p>
        </w:tc>
        <w:tc>
          <w:tcPr>
            <w:tcW w:w="1134" w:type="dxa"/>
            <w:vAlign w:val="center"/>
          </w:tcPr>
          <w:p>
            <w:pPr>
              <w:pStyle w:val="15"/>
            </w:pPr>
            <w:r>
              <w:t>9812.52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8348.32</w:t>
            </w:r>
          </w:p>
        </w:tc>
        <w:tc>
          <w:tcPr>
            <w:tcW w:w="1134" w:type="dxa"/>
            <w:vAlign w:val="center"/>
          </w:tcPr>
          <w:p>
            <w:pPr>
              <w:pStyle w:val="11"/>
            </w:pPr>
            <w:r>
              <w:t>8348.32</w:t>
            </w:r>
          </w:p>
        </w:tc>
        <w:tc>
          <w:tcPr>
            <w:tcW w:w="1134" w:type="dxa"/>
            <w:vAlign w:val="center"/>
          </w:tcPr>
          <w:p>
            <w:pPr>
              <w:pStyle w:val="11"/>
            </w:pPr>
            <w:r>
              <w:t>8348.32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8348.32</w:t>
            </w:r>
          </w:p>
        </w:tc>
        <w:tc>
          <w:tcPr>
            <w:tcW w:w="1134" w:type="dxa"/>
            <w:vAlign w:val="center"/>
          </w:tcPr>
          <w:p>
            <w:pPr>
              <w:pStyle w:val="11"/>
            </w:pPr>
            <w:r>
              <w:t>8348.32</w:t>
            </w:r>
          </w:p>
        </w:tc>
        <w:tc>
          <w:tcPr>
            <w:tcW w:w="1134" w:type="dxa"/>
            <w:vAlign w:val="center"/>
          </w:tcPr>
          <w:p>
            <w:pPr>
              <w:pStyle w:val="11"/>
            </w:pPr>
            <w:r>
              <w:t>8348.32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4362.56</w:t>
            </w:r>
          </w:p>
        </w:tc>
        <w:tc>
          <w:tcPr>
            <w:tcW w:w="1134" w:type="dxa"/>
            <w:vAlign w:val="center"/>
          </w:tcPr>
          <w:p>
            <w:pPr>
              <w:pStyle w:val="11"/>
            </w:pPr>
            <w:r>
              <w:t>4362.56</w:t>
            </w:r>
          </w:p>
        </w:tc>
        <w:tc>
          <w:tcPr>
            <w:tcW w:w="1134" w:type="dxa"/>
            <w:vAlign w:val="center"/>
          </w:tcPr>
          <w:p>
            <w:pPr>
              <w:pStyle w:val="11"/>
            </w:pPr>
            <w:r>
              <w:t>4362.56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1407.60</w:t>
            </w:r>
          </w:p>
        </w:tc>
        <w:tc>
          <w:tcPr>
            <w:tcW w:w="1134" w:type="dxa"/>
            <w:vAlign w:val="center"/>
          </w:tcPr>
          <w:p>
            <w:pPr>
              <w:pStyle w:val="11"/>
            </w:pPr>
            <w:r>
              <w:t>1407.60</w:t>
            </w:r>
          </w:p>
        </w:tc>
        <w:tc>
          <w:tcPr>
            <w:tcW w:w="1134" w:type="dxa"/>
            <w:vAlign w:val="center"/>
          </w:tcPr>
          <w:p>
            <w:pPr>
              <w:pStyle w:val="11"/>
            </w:pPr>
            <w:r>
              <w:t>1407.60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1614.98</w:t>
            </w:r>
          </w:p>
        </w:tc>
        <w:tc>
          <w:tcPr>
            <w:tcW w:w="1134" w:type="dxa"/>
            <w:vAlign w:val="center"/>
          </w:tcPr>
          <w:p>
            <w:pPr>
              <w:pStyle w:val="11"/>
            </w:pPr>
            <w:r>
              <w:t>1614.98</w:t>
            </w:r>
          </w:p>
        </w:tc>
        <w:tc>
          <w:tcPr>
            <w:tcW w:w="1134" w:type="dxa"/>
            <w:vAlign w:val="center"/>
          </w:tcPr>
          <w:p>
            <w:pPr>
              <w:pStyle w:val="11"/>
            </w:pPr>
            <w:r>
              <w:t>1614.98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963.18</w:t>
            </w:r>
          </w:p>
        </w:tc>
        <w:tc>
          <w:tcPr>
            <w:tcW w:w="1134" w:type="dxa"/>
            <w:vAlign w:val="center"/>
          </w:tcPr>
          <w:p>
            <w:pPr>
              <w:pStyle w:val="11"/>
            </w:pPr>
            <w:r>
              <w:t>963.18</w:t>
            </w:r>
          </w:p>
        </w:tc>
        <w:tc>
          <w:tcPr>
            <w:tcW w:w="1134" w:type="dxa"/>
            <w:vAlign w:val="center"/>
          </w:tcPr>
          <w:p>
            <w:pPr>
              <w:pStyle w:val="11"/>
            </w:pPr>
            <w:r>
              <w:t>963.18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825.40</w:t>
            </w:r>
          </w:p>
        </w:tc>
        <w:tc>
          <w:tcPr>
            <w:tcW w:w="1134" w:type="dxa"/>
            <w:vAlign w:val="center"/>
          </w:tcPr>
          <w:p>
            <w:pPr>
              <w:pStyle w:val="11"/>
            </w:pPr>
            <w:r>
              <w:t>825.40</w:t>
            </w:r>
          </w:p>
        </w:tc>
        <w:tc>
          <w:tcPr>
            <w:tcW w:w="1134" w:type="dxa"/>
            <w:vAlign w:val="center"/>
          </w:tcPr>
          <w:p>
            <w:pPr>
              <w:pStyle w:val="11"/>
            </w:pPr>
            <w:r>
              <w:t>825.40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825.40</w:t>
            </w:r>
          </w:p>
        </w:tc>
        <w:tc>
          <w:tcPr>
            <w:tcW w:w="1134" w:type="dxa"/>
            <w:vAlign w:val="center"/>
          </w:tcPr>
          <w:p>
            <w:pPr>
              <w:pStyle w:val="11"/>
            </w:pPr>
            <w:r>
              <w:t>825.40</w:t>
            </w:r>
          </w:p>
        </w:tc>
        <w:tc>
          <w:tcPr>
            <w:tcW w:w="1134" w:type="dxa"/>
            <w:vAlign w:val="center"/>
          </w:tcPr>
          <w:p>
            <w:pPr>
              <w:pStyle w:val="11"/>
            </w:pPr>
            <w:r>
              <w:t>825.40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230.32</w:t>
            </w:r>
          </w:p>
        </w:tc>
        <w:tc>
          <w:tcPr>
            <w:tcW w:w="1134" w:type="dxa"/>
            <w:vAlign w:val="center"/>
          </w:tcPr>
          <w:p>
            <w:pPr>
              <w:pStyle w:val="11"/>
            </w:pPr>
            <w:r>
              <w:t>230.32</w:t>
            </w:r>
          </w:p>
        </w:tc>
        <w:tc>
          <w:tcPr>
            <w:tcW w:w="1134" w:type="dxa"/>
            <w:vAlign w:val="center"/>
          </w:tcPr>
          <w:p>
            <w:pPr>
              <w:pStyle w:val="11"/>
            </w:pPr>
            <w:r>
              <w:t>230.32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595.08</w:t>
            </w:r>
          </w:p>
        </w:tc>
        <w:tc>
          <w:tcPr>
            <w:tcW w:w="1134" w:type="dxa"/>
            <w:vAlign w:val="center"/>
          </w:tcPr>
          <w:p>
            <w:pPr>
              <w:pStyle w:val="11"/>
            </w:pPr>
            <w:r>
              <w:t>595.08</w:t>
            </w:r>
          </w:p>
        </w:tc>
        <w:tc>
          <w:tcPr>
            <w:tcW w:w="1134" w:type="dxa"/>
            <w:vAlign w:val="center"/>
          </w:tcPr>
          <w:p>
            <w:pPr>
              <w:pStyle w:val="11"/>
            </w:pPr>
            <w:r>
              <w:t>595.08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317.22</w:t>
            </w:r>
          </w:p>
        </w:tc>
        <w:tc>
          <w:tcPr>
            <w:tcW w:w="1134" w:type="dxa"/>
            <w:vAlign w:val="center"/>
          </w:tcPr>
          <w:p>
            <w:pPr>
              <w:pStyle w:val="11"/>
            </w:pPr>
            <w:r>
              <w:t>317.22</w:t>
            </w:r>
          </w:p>
        </w:tc>
        <w:tc>
          <w:tcPr>
            <w:tcW w:w="1134" w:type="dxa"/>
            <w:vAlign w:val="center"/>
          </w:tcPr>
          <w:p>
            <w:pPr>
              <w:pStyle w:val="11"/>
            </w:pPr>
            <w:r>
              <w:t>317.22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317.22</w:t>
            </w:r>
          </w:p>
        </w:tc>
        <w:tc>
          <w:tcPr>
            <w:tcW w:w="1134" w:type="dxa"/>
            <w:vAlign w:val="center"/>
          </w:tcPr>
          <w:p>
            <w:pPr>
              <w:pStyle w:val="11"/>
            </w:pPr>
            <w:r>
              <w:t>317.22</w:t>
            </w:r>
          </w:p>
        </w:tc>
        <w:tc>
          <w:tcPr>
            <w:tcW w:w="1134" w:type="dxa"/>
            <w:vAlign w:val="center"/>
          </w:tcPr>
          <w:p>
            <w:pPr>
              <w:pStyle w:val="11"/>
            </w:pPr>
            <w:r>
              <w:t>317.22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161.04</w:t>
            </w:r>
          </w:p>
        </w:tc>
        <w:tc>
          <w:tcPr>
            <w:tcW w:w="1134" w:type="dxa"/>
            <w:vAlign w:val="center"/>
          </w:tcPr>
          <w:p>
            <w:pPr>
              <w:pStyle w:val="11"/>
            </w:pPr>
            <w:r>
              <w:t>161.04</w:t>
            </w:r>
          </w:p>
        </w:tc>
        <w:tc>
          <w:tcPr>
            <w:tcW w:w="1134" w:type="dxa"/>
            <w:vAlign w:val="center"/>
          </w:tcPr>
          <w:p>
            <w:pPr>
              <w:pStyle w:val="11"/>
            </w:pPr>
            <w:r>
              <w:t>161.04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154.84</w:t>
            </w:r>
          </w:p>
        </w:tc>
        <w:tc>
          <w:tcPr>
            <w:tcW w:w="1134" w:type="dxa"/>
            <w:vAlign w:val="center"/>
          </w:tcPr>
          <w:p>
            <w:pPr>
              <w:pStyle w:val="11"/>
            </w:pPr>
            <w:r>
              <w:t>154.84</w:t>
            </w:r>
          </w:p>
        </w:tc>
        <w:tc>
          <w:tcPr>
            <w:tcW w:w="1134" w:type="dxa"/>
            <w:vAlign w:val="center"/>
          </w:tcPr>
          <w:p>
            <w:pPr>
              <w:pStyle w:val="11"/>
            </w:pPr>
            <w:r>
              <w:t>154.84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r>
              <w:t>321.58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9812.52</w:t>
            </w:r>
          </w:p>
        </w:tc>
        <w:tc>
          <w:tcPr>
            <w:tcW w:w="1361" w:type="dxa"/>
            <w:vAlign w:val="center"/>
          </w:tcPr>
          <w:p>
            <w:pPr>
              <w:pStyle w:val="15"/>
            </w:pPr>
            <w:r>
              <w:t>5857.74</w:t>
            </w:r>
          </w:p>
        </w:tc>
        <w:tc>
          <w:tcPr>
            <w:tcW w:w="1361" w:type="dxa"/>
            <w:vAlign w:val="center"/>
          </w:tcPr>
          <w:p>
            <w:pPr>
              <w:pStyle w:val="15"/>
            </w:pPr>
            <w:r>
              <w:t>3954.78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8348.32</w:t>
            </w:r>
          </w:p>
        </w:tc>
        <w:tc>
          <w:tcPr>
            <w:tcW w:w="1361" w:type="dxa"/>
            <w:vAlign w:val="center"/>
          </w:tcPr>
          <w:p>
            <w:pPr>
              <w:pStyle w:val="11"/>
            </w:pPr>
            <w:r>
              <w:t>4393.54</w:t>
            </w:r>
          </w:p>
        </w:tc>
        <w:tc>
          <w:tcPr>
            <w:tcW w:w="1361" w:type="dxa"/>
            <w:vAlign w:val="center"/>
          </w:tcPr>
          <w:p>
            <w:pPr>
              <w:pStyle w:val="11"/>
            </w:pPr>
            <w:r>
              <w:t>3954.78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8348.32</w:t>
            </w:r>
          </w:p>
        </w:tc>
        <w:tc>
          <w:tcPr>
            <w:tcW w:w="1361" w:type="dxa"/>
            <w:vAlign w:val="center"/>
          </w:tcPr>
          <w:p>
            <w:pPr>
              <w:pStyle w:val="11"/>
            </w:pPr>
            <w:r>
              <w:t>4393.54</w:t>
            </w:r>
          </w:p>
        </w:tc>
        <w:tc>
          <w:tcPr>
            <w:tcW w:w="1361" w:type="dxa"/>
            <w:vAlign w:val="center"/>
          </w:tcPr>
          <w:p>
            <w:pPr>
              <w:pStyle w:val="11"/>
            </w:pPr>
            <w:r>
              <w:t>3954.78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6" w:type="dxa"/>
            <w:vAlign w:val="center"/>
          </w:tcPr>
          <w:p>
            <w:pPr>
              <w:pStyle w:val="12"/>
            </w:pPr>
            <w:r>
              <w:t>行政运行</w:t>
            </w:r>
          </w:p>
        </w:tc>
        <w:tc>
          <w:tcPr>
            <w:tcW w:w="1361" w:type="dxa"/>
            <w:vAlign w:val="center"/>
          </w:tcPr>
          <w:p>
            <w:pPr>
              <w:pStyle w:val="11"/>
            </w:pPr>
            <w:r>
              <w:t>4362.56</w:t>
            </w:r>
          </w:p>
        </w:tc>
        <w:tc>
          <w:tcPr>
            <w:tcW w:w="1361" w:type="dxa"/>
            <w:vAlign w:val="center"/>
          </w:tcPr>
          <w:p>
            <w:pPr>
              <w:pStyle w:val="11"/>
            </w:pPr>
            <w:r>
              <w:t>4362.56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1407.60</w:t>
            </w:r>
          </w:p>
        </w:tc>
        <w:tc>
          <w:tcPr>
            <w:tcW w:w="1361" w:type="dxa"/>
            <w:vAlign w:val="center"/>
          </w:tcPr>
          <w:p>
            <w:pPr>
              <w:pStyle w:val="11"/>
            </w:pPr>
          </w:p>
        </w:tc>
        <w:tc>
          <w:tcPr>
            <w:tcW w:w="1361" w:type="dxa"/>
            <w:vAlign w:val="center"/>
          </w:tcPr>
          <w:p>
            <w:pPr>
              <w:pStyle w:val="11"/>
            </w:pPr>
            <w:r>
              <w:t>1407.60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2011150</w:t>
            </w:r>
          </w:p>
        </w:tc>
        <w:tc>
          <w:tcPr>
            <w:tcW w:w="4536" w:type="dxa"/>
            <w:vAlign w:val="center"/>
          </w:tcPr>
          <w:p>
            <w:pPr>
              <w:pStyle w:val="12"/>
            </w:pPr>
            <w:r>
              <w:t>事业运行</w:t>
            </w:r>
          </w:p>
        </w:tc>
        <w:tc>
          <w:tcPr>
            <w:tcW w:w="1361" w:type="dxa"/>
            <w:vAlign w:val="center"/>
          </w:tcPr>
          <w:p>
            <w:pPr>
              <w:pStyle w:val="11"/>
            </w:pPr>
            <w:r>
              <w:t>1614.98</w:t>
            </w:r>
          </w:p>
        </w:tc>
        <w:tc>
          <w:tcPr>
            <w:tcW w:w="1361" w:type="dxa"/>
            <w:vAlign w:val="center"/>
          </w:tcPr>
          <w:p>
            <w:pPr>
              <w:pStyle w:val="11"/>
            </w:pPr>
            <w:r>
              <w:t>30.98</w:t>
            </w:r>
          </w:p>
        </w:tc>
        <w:tc>
          <w:tcPr>
            <w:tcW w:w="1361" w:type="dxa"/>
            <w:vAlign w:val="center"/>
          </w:tcPr>
          <w:p>
            <w:pPr>
              <w:pStyle w:val="11"/>
            </w:pPr>
            <w:r>
              <w:t>1584.00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6" w:type="dxa"/>
            <w:vAlign w:val="center"/>
          </w:tcPr>
          <w:p>
            <w:pPr>
              <w:pStyle w:val="12"/>
            </w:pPr>
            <w:r>
              <w:t>其他纪检监察事务支出</w:t>
            </w:r>
          </w:p>
        </w:tc>
        <w:tc>
          <w:tcPr>
            <w:tcW w:w="1361" w:type="dxa"/>
            <w:vAlign w:val="center"/>
          </w:tcPr>
          <w:p>
            <w:pPr>
              <w:pStyle w:val="11"/>
            </w:pPr>
            <w:r>
              <w:t>963.18</w:t>
            </w:r>
          </w:p>
        </w:tc>
        <w:tc>
          <w:tcPr>
            <w:tcW w:w="1361" w:type="dxa"/>
            <w:vAlign w:val="center"/>
          </w:tcPr>
          <w:p>
            <w:pPr>
              <w:pStyle w:val="11"/>
            </w:pPr>
          </w:p>
        </w:tc>
        <w:tc>
          <w:tcPr>
            <w:tcW w:w="1361" w:type="dxa"/>
            <w:vAlign w:val="center"/>
          </w:tcPr>
          <w:p>
            <w:pPr>
              <w:pStyle w:val="11"/>
            </w:pPr>
            <w:r>
              <w:t>963.18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825.40</w:t>
            </w:r>
          </w:p>
        </w:tc>
        <w:tc>
          <w:tcPr>
            <w:tcW w:w="1361" w:type="dxa"/>
            <w:vAlign w:val="center"/>
          </w:tcPr>
          <w:p>
            <w:pPr>
              <w:pStyle w:val="11"/>
            </w:pPr>
            <w:r>
              <w:t>825.40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825.40</w:t>
            </w:r>
          </w:p>
        </w:tc>
        <w:tc>
          <w:tcPr>
            <w:tcW w:w="1361" w:type="dxa"/>
            <w:vAlign w:val="center"/>
          </w:tcPr>
          <w:p>
            <w:pPr>
              <w:pStyle w:val="11"/>
            </w:pPr>
            <w:r>
              <w:t>825.40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230.32</w:t>
            </w:r>
          </w:p>
        </w:tc>
        <w:tc>
          <w:tcPr>
            <w:tcW w:w="1361" w:type="dxa"/>
            <w:vAlign w:val="center"/>
          </w:tcPr>
          <w:p>
            <w:pPr>
              <w:pStyle w:val="11"/>
            </w:pPr>
            <w:r>
              <w:t>230.32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595.08</w:t>
            </w:r>
          </w:p>
        </w:tc>
        <w:tc>
          <w:tcPr>
            <w:tcW w:w="1361" w:type="dxa"/>
            <w:vAlign w:val="center"/>
          </w:tcPr>
          <w:p>
            <w:pPr>
              <w:pStyle w:val="11"/>
            </w:pPr>
            <w:r>
              <w:t>595.08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317.22</w:t>
            </w:r>
          </w:p>
        </w:tc>
        <w:tc>
          <w:tcPr>
            <w:tcW w:w="1361" w:type="dxa"/>
            <w:vAlign w:val="center"/>
          </w:tcPr>
          <w:p>
            <w:pPr>
              <w:pStyle w:val="11"/>
            </w:pPr>
            <w:r>
              <w:t>317.22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317.22</w:t>
            </w:r>
          </w:p>
        </w:tc>
        <w:tc>
          <w:tcPr>
            <w:tcW w:w="1361" w:type="dxa"/>
            <w:vAlign w:val="center"/>
          </w:tcPr>
          <w:p>
            <w:pPr>
              <w:pStyle w:val="11"/>
            </w:pPr>
            <w:r>
              <w:t>317.22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161.04</w:t>
            </w:r>
          </w:p>
        </w:tc>
        <w:tc>
          <w:tcPr>
            <w:tcW w:w="1361" w:type="dxa"/>
            <w:vAlign w:val="center"/>
          </w:tcPr>
          <w:p>
            <w:pPr>
              <w:pStyle w:val="11"/>
            </w:pPr>
            <w:r>
              <w:t>161.04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154.84</w:t>
            </w:r>
          </w:p>
        </w:tc>
        <w:tc>
          <w:tcPr>
            <w:tcW w:w="1361" w:type="dxa"/>
            <w:vAlign w:val="center"/>
          </w:tcPr>
          <w:p>
            <w:pPr>
              <w:pStyle w:val="11"/>
            </w:pPr>
            <w:r>
              <w:t>154.84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321.58</w:t>
            </w:r>
          </w:p>
        </w:tc>
        <w:tc>
          <w:tcPr>
            <w:tcW w:w="1361" w:type="dxa"/>
            <w:vAlign w:val="center"/>
          </w:tcPr>
          <w:p>
            <w:pPr>
              <w:pStyle w:val="11"/>
            </w:pPr>
            <w:r>
              <w:t>321.58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321.58</w:t>
            </w:r>
          </w:p>
        </w:tc>
        <w:tc>
          <w:tcPr>
            <w:tcW w:w="1361" w:type="dxa"/>
            <w:vAlign w:val="center"/>
          </w:tcPr>
          <w:p>
            <w:pPr>
              <w:pStyle w:val="11"/>
            </w:pPr>
            <w:r>
              <w:t>321.58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321.58</w:t>
            </w:r>
          </w:p>
        </w:tc>
        <w:tc>
          <w:tcPr>
            <w:tcW w:w="1361" w:type="dxa"/>
            <w:vAlign w:val="center"/>
          </w:tcPr>
          <w:p>
            <w:pPr>
              <w:pStyle w:val="11"/>
            </w:pPr>
            <w:r>
              <w:t>321.58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9812.52</w:t>
            </w:r>
          </w:p>
        </w:tc>
        <w:tc>
          <w:tcPr>
            <w:tcW w:w="3402" w:type="dxa"/>
            <w:vAlign w:val="center"/>
          </w:tcPr>
          <w:p>
            <w:pPr>
              <w:pStyle w:val="12"/>
            </w:pPr>
            <w:r>
              <w:t>一、一般公共服务支出</w:t>
            </w:r>
          </w:p>
        </w:tc>
        <w:tc>
          <w:tcPr>
            <w:tcW w:w="1474" w:type="dxa"/>
            <w:vAlign w:val="center"/>
          </w:tcPr>
          <w:p>
            <w:pPr>
              <w:pStyle w:val="11"/>
            </w:pPr>
            <w:r>
              <w:t>8348.32</w:t>
            </w:r>
          </w:p>
        </w:tc>
        <w:tc>
          <w:tcPr>
            <w:tcW w:w="1474" w:type="dxa"/>
            <w:vAlign w:val="center"/>
          </w:tcPr>
          <w:p>
            <w:pPr>
              <w:pStyle w:val="11"/>
            </w:pPr>
            <w:r>
              <w:t>8348.32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825.40</w:t>
            </w:r>
          </w:p>
        </w:tc>
        <w:tc>
          <w:tcPr>
            <w:tcW w:w="1474" w:type="dxa"/>
            <w:vAlign w:val="center"/>
          </w:tcPr>
          <w:p>
            <w:pPr>
              <w:pStyle w:val="11"/>
            </w:pPr>
            <w:r>
              <w:t>825.40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317.22</w:t>
            </w:r>
          </w:p>
        </w:tc>
        <w:tc>
          <w:tcPr>
            <w:tcW w:w="1474" w:type="dxa"/>
            <w:vAlign w:val="center"/>
          </w:tcPr>
          <w:p>
            <w:pPr>
              <w:pStyle w:val="11"/>
            </w:pPr>
            <w:r>
              <w:t>317.22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321.58</w:t>
            </w:r>
          </w:p>
        </w:tc>
        <w:tc>
          <w:tcPr>
            <w:tcW w:w="1474" w:type="dxa"/>
            <w:vAlign w:val="center"/>
          </w:tcPr>
          <w:p>
            <w:pPr>
              <w:pStyle w:val="11"/>
            </w:pPr>
            <w:r>
              <w:t>321.58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9812.52</w:t>
            </w:r>
          </w:p>
        </w:tc>
        <w:tc>
          <w:tcPr>
            <w:tcW w:w="3402" w:type="dxa"/>
            <w:vAlign w:val="center"/>
          </w:tcPr>
          <w:p>
            <w:pPr>
              <w:pStyle w:val="14"/>
            </w:pPr>
            <w:r>
              <w:t>本年支出合计</w:t>
            </w:r>
          </w:p>
        </w:tc>
        <w:tc>
          <w:tcPr>
            <w:tcW w:w="1474" w:type="dxa"/>
            <w:vAlign w:val="center"/>
          </w:tcPr>
          <w:p>
            <w:pPr>
              <w:pStyle w:val="15"/>
            </w:pPr>
            <w:r>
              <w:t>9812.52</w:t>
            </w:r>
          </w:p>
        </w:tc>
        <w:tc>
          <w:tcPr>
            <w:tcW w:w="1474" w:type="dxa"/>
            <w:vAlign w:val="center"/>
          </w:tcPr>
          <w:p>
            <w:pPr>
              <w:pStyle w:val="15"/>
            </w:pPr>
            <w:r>
              <w:t>9812.52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9812.52</w:t>
            </w:r>
          </w:p>
        </w:tc>
        <w:tc>
          <w:tcPr>
            <w:tcW w:w="3402" w:type="dxa"/>
            <w:vAlign w:val="center"/>
          </w:tcPr>
          <w:p>
            <w:pPr>
              <w:pStyle w:val="14"/>
            </w:pPr>
            <w:r>
              <w:t>支出总计</w:t>
            </w:r>
          </w:p>
        </w:tc>
        <w:tc>
          <w:tcPr>
            <w:tcW w:w="1474" w:type="dxa"/>
            <w:vAlign w:val="center"/>
          </w:tcPr>
          <w:p>
            <w:pPr>
              <w:pStyle w:val="15"/>
            </w:pPr>
            <w:r>
              <w:t>9812.52</w:t>
            </w:r>
          </w:p>
        </w:tc>
        <w:tc>
          <w:tcPr>
            <w:tcW w:w="1474" w:type="dxa"/>
            <w:vAlign w:val="center"/>
          </w:tcPr>
          <w:p>
            <w:pPr>
              <w:pStyle w:val="15"/>
            </w:pPr>
            <w:r>
              <w:t>9812.52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9812.52</w:t>
            </w:r>
          </w:p>
        </w:tc>
        <w:tc>
          <w:tcPr>
            <w:tcW w:w="2551" w:type="dxa"/>
            <w:vAlign w:val="center"/>
          </w:tcPr>
          <w:p>
            <w:pPr>
              <w:pStyle w:val="15"/>
            </w:pPr>
            <w:r>
              <w:t>5857.74</w:t>
            </w:r>
          </w:p>
        </w:tc>
        <w:tc>
          <w:tcPr>
            <w:tcW w:w="2551" w:type="dxa"/>
            <w:vAlign w:val="center"/>
          </w:tcPr>
          <w:p>
            <w:pPr>
              <w:pStyle w:val="15"/>
            </w:pPr>
            <w:r>
              <w:t>3954.78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8348.32</w:t>
            </w:r>
          </w:p>
        </w:tc>
        <w:tc>
          <w:tcPr>
            <w:tcW w:w="2551" w:type="dxa"/>
            <w:vAlign w:val="center"/>
          </w:tcPr>
          <w:p>
            <w:pPr>
              <w:pStyle w:val="11"/>
            </w:pPr>
            <w:r>
              <w:t>4393.54</w:t>
            </w:r>
          </w:p>
        </w:tc>
        <w:tc>
          <w:tcPr>
            <w:tcW w:w="2551" w:type="dxa"/>
            <w:vAlign w:val="center"/>
          </w:tcPr>
          <w:p>
            <w:pPr>
              <w:pStyle w:val="11"/>
            </w:pPr>
            <w:r>
              <w:t>3954.78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8348.32</w:t>
            </w:r>
          </w:p>
        </w:tc>
        <w:tc>
          <w:tcPr>
            <w:tcW w:w="2551" w:type="dxa"/>
            <w:vAlign w:val="center"/>
          </w:tcPr>
          <w:p>
            <w:pPr>
              <w:pStyle w:val="11"/>
            </w:pPr>
            <w:r>
              <w:t>4393.54</w:t>
            </w:r>
          </w:p>
        </w:tc>
        <w:tc>
          <w:tcPr>
            <w:tcW w:w="2551" w:type="dxa"/>
            <w:vAlign w:val="center"/>
          </w:tcPr>
          <w:p>
            <w:pPr>
              <w:pStyle w:val="11"/>
            </w:pPr>
            <w:r>
              <w:t>3954.78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4362.56</w:t>
            </w:r>
          </w:p>
        </w:tc>
        <w:tc>
          <w:tcPr>
            <w:tcW w:w="2551" w:type="dxa"/>
            <w:vAlign w:val="center"/>
          </w:tcPr>
          <w:p>
            <w:pPr>
              <w:pStyle w:val="11"/>
            </w:pPr>
            <w:r>
              <w:t>4362.56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1407.60</w:t>
            </w:r>
          </w:p>
        </w:tc>
        <w:tc>
          <w:tcPr>
            <w:tcW w:w="2551" w:type="dxa"/>
            <w:vAlign w:val="center"/>
          </w:tcPr>
          <w:p>
            <w:pPr>
              <w:pStyle w:val="11"/>
            </w:pPr>
          </w:p>
        </w:tc>
        <w:tc>
          <w:tcPr>
            <w:tcW w:w="2551" w:type="dxa"/>
            <w:vAlign w:val="center"/>
          </w:tcPr>
          <w:p>
            <w:pPr>
              <w:pStyle w:val="11"/>
            </w:pPr>
            <w:r>
              <w:t>1407.60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1614.98</w:t>
            </w:r>
          </w:p>
        </w:tc>
        <w:tc>
          <w:tcPr>
            <w:tcW w:w="2551" w:type="dxa"/>
            <w:vAlign w:val="center"/>
          </w:tcPr>
          <w:p>
            <w:pPr>
              <w:pStyle w:val="11"/>
            </w:pPr>
            <w:r>
              <w:t>30.98</w:t>
            </w:r>
          </w:p>
        </w:tc>
        <w:tc>
          <w:tcPr>
            <w:tcW w:w="2551" w:type="dxa"/>
            <w:vAlign w:val="center"/>
          </w:tcPr>
          <w:p>
            <w:pPr>
              <w:pStyle w:val="11"/>
            </w:pPr>
            <w:r>
              <w:t>1584.00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963.18</w:t>
            </w:r>
          </w:p>
        </w:tc>
        <w:tc>
          <w:tcPr>
            <w:tcW w:w="2551" w:type="dxa"/>
            <w:vAlign w:val="center"/>
          </w:tcPr>
          <w:p>
            <w:pPr>
              <w:pStyle w:val="11"/>
            </w:pPr>
          </w:p>
        </w:tc>
        <w:tc>
          <w:tcPr>
            <w:tcW w:w="2551" w:type="dxa"/>
            <w:vAlign w:val="center"/>
          </w:tcPr>
          <w:p>
            <w:pPr>
              <w:pStyle w:val="11"/>
            </w:pPr>
            <w:r>
              <w:t>963.18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825.40</w:t>
            </w:r>
          </w:p>
        </w:tc>
        <w:tc>
          <w:tcPr>
            <w:tcW w:w="2551" w:type="dxa"/>
            <w:vAlign w:val="center"/>
          </w:tcPr>
          <w:p>
            <w:pPr>
              <w:pStyle w:val="11"/>
            </w:pPr>
            <w:r>
              <w:t>825.40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825.40</w:t>
            </w:r>
          </w:p>
        </w:tc>
        <w:tc>
          <w:tcPr>
            <w:tcW w:w="2551" w:type="dxa"/>
            <w:vAlign w:val="center"/>
          </w:tcPr>
          <w:p>
            <w:pPr>
              <w:pStyle w:val="11"/>
            </w:pPr>
            <w:r>
              <w:t>825.40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230.32</w:t>
            </w:r>
          </w:p>
        </w:tc>
        <w:tc>
          <w:tcPr>
            <w:tcW w:w="2551" w:type="dxa"/>
            <w:vAlign w:val="center"/>
          </w:tcPr>
          <w:p>
            <w:pPr>
              <w:pStyle w:val="11"/>
            </w:pPr>
            <w:r>
              <w:t>230.32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595.08</w:t>
            </w:r>
          </w:p>
        </w:tc>
        <w:tc>
          <w:tcPr>
            <w:tcW w:w="2551" w:type="dxa"/>
            <w:vAlign w:val="center"/>
          </w:tcPr>
          <w:p>
            <w:pPr>
              <w:pStyle w:val="11"/>
            </w:pPr>
            <w:r>
              <w:t>595.08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317.22</w:t>
            </w:r>
          </w:p>
        </w:tc>
        <w:tc>
          <w:tcPr>
            <w:tcW w:w="2551" w:type="dxa"/>
            <w:vAlign w:val="center"/>
          </w:tcPr>
          <w:p>
            <w:pPr>
              <w:pStyle w:val="11"/>
            </w:pPr>
            <w:r>
              <w:t>317.22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317.22</w:t>
            </w:r>
          </w:p>
        </w:tc>
        <w:tc>
          <w:tcPr>
            <w:tcW w:w="2551" w:type="dxa"/>
            <w:vAlign w:val="center"/>
          </w:tcPr>
          <w:p>
            <w:pPr>
              <w:pStyle w:val="11"/>
            </w:pPr>
            <w:r>
              <w:t>317.22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161.04</w:t>
            </w:r>
          </w:p>
        </w:tc>
        <w:tc>
          <w:tcPr>
            <w:tcW w:w="2551" w:type="dxa"/>
            <w:vAlign w:val="center"/>
          </w:tcPr>
          <w:p>
            <w:pPr>
              <w:pStyle w:val="11"/>
            </w:pPr>
            <w:r>
              <w:t>161.04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154.84</w:t>
            </w:r>
          </w:p>
        </w:tc>
        <w:tc>
          <w:tcPr>
            <w:tcW w:w="2551" w:type="dxa"/>
            <w:vAlign w:val="center"/>
          </w:tcPr>
          <w:p>
            <w:pPr>
              <w:pStyle w:val="11"/>
            </w:pPr>
            <w:r>
              <w:t>154.84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321.58</w:t>
            </w:r>
          </w:p>
        </w:tc>
        <w:tc>
          <w:tcPr>
            <w:tcW w:w="2551" w:type="dxa"/>
            <w:vAlign w:val="center"/>
          </w:tcPr>
          <w:p>
            <w:pPr>
              <w:pStyle w:val="11"/>
            </w:pPr>
            <w:r>
              <w:t>321.58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321.58</w:t>
            </w:r>
          </w:p>
        </w:tc>
        <w:tc>
          <w:tcPr>
            <w:tcW w:w="2551" w:type="dxa"/>
            <w:vAlign w:val="center"/>
          </w:tcPr>
          <w:p>
            <w:pPr>
              <w:pStyle w:val="11"/>
            </w:pPr>
            <w:r>
              <w:t>321.58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321.58</w:t>
            </w:r>
          </w:p>
        </w:tc>
        <w:tc>
          <w:tcPr>
            <w:tcW w:w="2551" w:type="dxa"/>
            <w:vAlign w:val="center"/>
          </w:tcPr>
          <w:p>
            <w:pPr>
              <w:pStyle w:val="11"/>
            </w:pPr>
            <w:r>
              <w:t>321.58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5857.74</w:t>
            </w:r>
          </w:p>
        </w:tc>
        <w:tc>
          <w:tcPr>
            <w:tcW w:w="2551" w:type="dxa"/>
            <w:vAlign w:val="center"/>
          </w:tcPr>
          <w:p>
            <w:pPr>
              <w:pStyle w:val="15"/>
            </w:pPr>
            <w:r>
              <w:t>5184.52</w:t>
            </w:r>
          </w:p>
        </w:tc>
        <w:tc>
          <w:tcPr>
            <w:tcW w:w="2552" w:type="dxa"/>
            <w:vAlign w:val="center"/>
          </w:tcPr>
          <w:p>
            <w:pPr>
              <w:pStyle w:val="15"/>
            </w:pPr>
            <w:r>
              <w:t>673.22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4953.79</w:t>
            </w:r>
          </w:p>
        </w:tc>
        <w:tc>
          <w:tcPr>
            <w:tcW w:w="2551" w:type="dxa"/>
            <w:vAlign w:val="center"/>
          </w:tcPr>
          <w:p>
            <w:pPr>
              <w:pStyle w:val="11"/>
            </w:pPr>
            <w:r>
              <w:t>4953.79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1808.25</w:t>
            </w:r>
          </w:p>
        </w:tc>
        <w:tc>
          <w:tcPr>
            <w:tcW w:w="2551" w:type="dxa"/>
            <w:vAlign w:val="center"/>
          </w:tcPr>
          <w:p>
            <w:pPr>
              <w:pStyle w:val="11"/>
            </w:pPr>
            <w:r>
              <w:t>1808.25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1103.30</w:t>
            </w:r>
          </w:p>
        </w:tc>
        <w:tc>
          <w:tcPr>
            <w:tcW w:w="2551" w:type="dxa"/>
            <w:vAlign w:val="center"/>
          </w:tcPr>
          <w:p>
            <w:pPr>
              <w:pStyle w:val="11"/>
            </w:pPr>
            <w:r>
              <w:t>1103.30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102.71</w:t>
            </w:r>
          </w:p>
        </w:tc>
        <w:tc>
          <w:tcPr>
            <w:tcW w:w="2551" w:type="dxa"/>
            <w:vAlign w:val="center"/>
          </w:tcPr>
          <w:p>
            <w:pPr>
              <w:pStyle w:val="11"/>
            </w:pPr>
            <w:r>
              <w:t>102.71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9.29</w:t>
            </w:r>
          </w:p>
        </w:tc>
        <w:tc>
          <w:tcPr>
            <w:tcW w:w="2551" w:type="dxa"/>
            <w:vAlign w:val="center"/>
          </w:tcPr>
          <w:p>
            <w:pPr>
              <w:pStyle w:val="11"/>
            </w:pPr>
            <w:r>
              <w:t>9.29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595.08</w:t>
            </w:r>
          </w:p>
        </w:tc>
        <w:tc>
          <w:tcPr>
            <w:tcW w:w="2551" w:type="dxa"/>
            <w:vAlign w:val="center"/>
          </w:tcPr>
          <w:p>
            <w:pPr>
              <w:pStyle w:val="11"/>
            </w:pPr>
            <w:r>
              <w:t>595.08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162.38</w:t>
            </w:r>
          </w:p>
        </w:tc>
        <w:tc>
          <w:tcPr>
            <w:tcW w:w="2551" w:type="dxa"/>
            <w:vAlign w:val="center"/>
          </w:tcPr>
          <w:p>
            <w:pPr>
              <w:pStyle w:val="11"/>
            </w:pPr>
            <w:r>
              <w:t>162.38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154.84</w:t>
            </w:r>
          </w:p>
        </w:tc>
        <w:tc>
          <w:tcPr>
            <w:tcW w:w="2551" w:type="dxa"/>
            <w:vAlign w:val="center"/>
          </w:tcPr>
          <w:p>
            <w:pPr>
              <w:pStyle w:val="11"/>
            </w:pPr>
            <w:r>
              <w:t>154.84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11.27</w:t>
            </w:r>
          </w:p>
        </w:tc>
        <w:tc>
          <w:tcPr>
            <w:tcW w:w="2551" w:type="dxa"/>
            <w:vAlign w:val="center"/>
          </w:tcPr>
          <w:p>
            <w:pPr>
              <w:pStyle w:val="11"/>
            </w:pPr>
            <w:r>
              <w:t>11.27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321.58</w:t>
            </w:r>
          </w:p>
        </w:tc>
        <w:tc>
          <w:tcPr>
            <w:tcW w:w="2551" w:type="dxa"/>
            <w:vAlign w:val="center"/>
          </w:tcPr>
          <w:p>
            <w:pPr>
              <w:pStyle w:val="11"/>
            </w:pPr>
            <w:r>
              <w:t>321.58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685.09</w:t>
            </w:r>
          </w:p>
        </w:tc>
        <w:tc>
          <w:tcPr>
            <w:tcW w:w="2551" w:type="dxa"/>
            <w:vAlign w:val="center"/>
          </w:tcPr>
          <w:p>
            <w:pPr>
              <w:pStyle w:val="11"/>
            </w:pPr>
            <w:r>
              <w:t>685.09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673.22</w:t>
            </w:r>
          </w:p>
        </w:tc>
        <w:tc>
          <w:tcPr>
            <w:tcW w:w="2551" w:type="dxa"/>
            <w:vAlign w:val="center"/>
          </w:tcPr>
          <w:p>
            <w:pPr>
              <w:pStyle w:val="11"/>
            </w:pPr>
          </w:p>
        </w:tc>
        <w:tc>
          <w:tcPr>
            <w:tcW w:w="2552" w:type="dxa"/>
            <w:vAlign w:val="center"/>
          </w:tcPr>
          <w:p>
            <w:pPr>
              <w:pStyle w:val="11"/>
            </w:pPr>
            <w:r>
              <w:t>673.22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137.90</w:t>
            </w:r>
          </w:p>
        </w:tc>
        <w:tc>
          <w:tcPr>
            <w:tcW w:w="2551" w:type="dxa"/>
            <w:vAlign w:val="center"/>
          </w:tcPr>
          <w:p>
            <w:pPr>
              <w:pStyle w:val="11"/>
            </w:pPr>
          </w:p>
        </w:tc>
        <w:tc>
          <w:tcPr>
            <w:tcW w:w="2552" w:type="dxa"/>
            <w:vAlign w:val="center"/>
          </w:tcPr>
          <w:p>
            <w:pPr>
              <w:pStyle w:val="11"/>
            </w:pPr>
            <w:r>
              <w:t>137.90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148.47</w:t>
            </w:r>
          </w:p>
        </w:tc>
        <w:tc>
          <w:tcPr>
            <w:tcW w:w="2551" w:type="dxa"/>
            <w:vAlign w:val="center"/>
          </w:tcPr>
          <w:p>
            <w:pPr>
              <w:pStyle w:val="11"/>
            </w:pPr>
          </w:p>
        </w:tc>
        <w:tc>
          <w:tcPr>
            <w:tcW w:w="2552" w:type="dxa"/>
            <w:vAlign w:val="center"/>
          </w:tcPr>
          <w:p>
            <w:pPr>
              <w:pStyle w:val="11"/>
            </w:pPr>
            <w:r>
              <w:t>148.47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26.70</w:t>
            </w:r>
          </w:p>
        </w:tc>
        <w:tc>
          <w:tcPr>
            <w:tcW w:w="2551" w:type="dxa"/>
            <w:vAlign w:val="center"/>
          </w:tcPr>
          <w:p>
            <w:pPr>
              <w:pStyle w:val="11"/>
            </w:pPr>
          </w:p>
        </w:tc>
        <w:tc>
          <w:tcPr>
            <w:tcW w:w="2552" w:type="dxa"/>
            <w:vAlign w:val="center"/>
          </w:tcPr>
          <w:p>
            <w:pPr>
              <w:pStyle w:val="11"/>
            </w:pPr>
            <w:r>
              <w:t>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34.09</w:t>
            </w:r>
          </w:p>
        </w:tc>
        <w:tc>
          <w:tcPr>
            <w:tcW w:w="2551" w:type="dxa"/>
            <w:vAlign w:val="center"/>
          </w:tcPr>
          <w:p>
            <w:pPr>
              <w:pStyle w:val="11"/>
            </w:pPr>
          </w:p>
        </w:tc>
        <w:tc>
          <w:tcPr>
            <w:tcW w:w="2552" w:type="dxa"/>
            <w:vAlign w:val="center"/>
          </w:tcPr>
          <w:p>
            <w:pPr>
              <w:pStyle w:val="11"/>
            </w:pPr>
            <w:r>
              <w:t>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57.50</w:t>
            </w:r>
          </w:p>
        </w:tc>
        <w:tc>
          <w:tcPr>
            <w:tcW w:w="2551" w:type="dxa"/>
            <w:vAlign w:val="center"/>
          </w:tcPr>
          <w:p>
            <w:pPr>
              <w:pStyle w:val="11"/>
            </w:pPr>
          </w:p>
        </w:tc>
        <w:tc>
          <w:tcPr>
            <w:tcW w:w="2552" w:type="dxa"/>
            <w:vAlign w:val="center"/>
          </w:tcPr>
          <w:p>
            <w:pPr>
              <w:pStyle w:val="11"/>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254.57</w:t>
            </w:r>
          </w:p>
        </w:tc>
        <w:tc>
          <w:tcPr>
            <w:tcW w:w="2551" w:type="dxa"/>
            <w:vAlign w:val="center"/>
          </w:tcPr>
          <w:p>
            <w:pPr>
              <w:pStyle w:val="11"/>
            </w:pPr>
          </w:p>
        </w:tc>
        <w:tc>
          <w:tcPr>
            <w:tcW w:w="2552" w:type="dxa"/>
            <w:vAlign w:val="center"/>
          </w:tcPr>
          <w:p>
            <w:pPr>
              <w:pStyle w:val="11"/>
            </w:pPr>
            <w:r>
              <w:t>254.57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13.99</w:t>
            </w:r>
          </w:p>
        </w:tc>
        <w:tc>
          <w:tcPr>
            <w:tcW w:w="2551" w:type="dxa"/>
            <w:vAlign w:val="center"/>
          </w:tcPr>
          <w:p>
            <w:pPr>
              <w:pStyle w:val="11"/>
            </w:pPr>
          </w:p>
        </w:tc>
        <w:tc>
          <w:tcPr>
            <w:tcW w:w="2552" w:type="dxa"/>
            <w:vAlign w:val="center"/>
          </w:tcPr>
          <w:p>
            <w:pPr>
              <w:pStyle w:val="11"/>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230.73</w:t>
            </w:r>
          </w:p>
        </w:tc>
        <w:tc>
          <w:tcPr>
            <w:tcW w:w="2551" w:type="dxa"/>
            <w:vAlign w:val="center"/>
          </w:tcPr>
          <w:p>
            <w:pPr>
              <w:pStyle w:val="11"/>
            </w:pPr>
            <w:r>
              <w:t>230.73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230.32</w:t>
            </w:r>
          </w:p>
        </w:tc>
        <w:tc>
          <w:tcPr>
            <w:tcW w:w="2551" w:type="dxa"/>
            <w:vAlign w:val="center"/>
          </w:tcPr>
          <w:p>
            <w:pPr>
              <w:pStyle w:val="11"/>
            </w:pPr>
            <w:r>
              <w:t>230.32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0.41</w:t>
            </w:r>
          </w:p>
        </w:tc>
        <w:tc>
          <w:tcPr>
            <w:tcW w:w="2551" w:type="dxa"/>
            <w:vAlign w:val="center"/>
          </w:tcPr>
          <w:p>
            <w:pPr>
              <w:pStyle w:val="11"/>
            </w:pPr>
            <w:r>
              <w:t>0.41</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sz w:val="36"/>
        </w:rPr>
        <w:t>部门预算政府基金预算财政拨款支出表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222中共衡水市纪律检查委员会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sz w:val="36"/>
        </w:rPr>
        <w:t>部门预算财政拨款“三公”经费支出表</w:t>
      </w:r>
      <w:bookmarkEnd w:id="8"/>
    </w:p>
    <w:p>
      <w:pPr>
        <w:pStyle w:val="9"/>
        <w:ind w:firstLine="360" w:firstLineChars="150"/>
      </w:pPr>
      <w:r>
        <w:rPr>
          <w:rFonts w:hint="eastAsia"/>
        </w:rPr>
        <w:t xml:space="preserve">222中共衡水市纪律检查委员会                    </w:t>
      </w:r>
      <w:r>
        <w:rPr>
          <w:rFonts w:hint="eastAsia"/>
          <w:lang w:eastAsia="zh-CN"/>
        </w:rPr>
        <w:t xml:space="preserve">                          </w:t>
      </w:r>
      <w:r>
        <w:rPr>
          <w:rFonts w:hint="eastAsia"/>
        </w:rPr>
        <w:t xml:space="preserve">预算年度：2022                                          </w:t>
      </w:r>
      <w:r>
        <w:rPr>
          <w:rFonts w:hint="eastAsia"/>
          <w:lang w:eastAsia="zh-CN"/>
        </w:rPr>
        <w:t xml:space="preserve">                                 </w:t>
      </w:r>
      <w:r>
        <w:rPr>
          <w:rFonts w:hint="eastAsia"/>
        </w:rPr>
        <w:t>单位：万元</w:t>
      </w:r>
    </w:p>
    <w:p>
      <w:pPr>
        <w:rPr>
          <w:rFonts w:hint="eastAsia" w:ascii="方正书宋_GBK" w:hAnsi="方正书宋_GBK" w:cs="方正书宋_GBK" w:eastAsiaTheme="minorEastAsia"/>
          <w:sz w:val="21"/>
          <w:lang w:eastAsia="zh-CN"/>
        </w:rPr>
      </w:pP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3798" w:type="dxa"/>
            <w:vAlign w:val="center"/>
          </w:tcPr>
          <w:p>
            <w:pPr>
              <w:pStyle w:val="12"/>
              <w:ind w:firstLine="1470" w:firstLineChars="700"/>
              <w:rPr>
                <w:lang w:eastAsia="zh-CN"/>
              </w:rPr>
            </w:pPr>
            <w:r>
              <w:rPr>
                <w:rFonts w:hint="eastAsia"/>
                <w:lang w:eastAsia="zh-CN"/>
              </w:rPr>
              <w:t>合计</w:t>
            </w:r>
          </w:p>
        </w:tc>
        <w:tc>
          <w:tcPr>
            <w:tcW w:w="2382" w:type="dxa"/>
            <w:vAlign w:val="center"/>
          </w:tcPr>
          <w:p>
            <w:pPr>
              <w:pStyle w:val="11"/>
              <w:jc w:val="center"/>
              <w:rPr>
                <w:rFonts w:hint="eastAsia" w:eastAsiaTheme="minorEastAsia"/>
                <w:lang w:eastAsia="zh-CN"/>
              </w:rPr>
            </w:pPr>
            <w:r>
              <w:rPr>
                <w:rFonts w:hint="eastAsia" w:eastAsiaTheme="minorEastAsia"/>
                <w:lang w:eastAsia="zh-CN"/>
              </w:rPr>
              <w:t>132.5</w:t>
            </w:r>
          </w:p>
        </w:tc>
        <w:tc>
          <w:tcPr>
            <w:tcW w:w="2381" w:type="dxa"/>
            <w:vAlign w:val="center"/>
          </w:tcPr>
          <w:p>
            <w:pPr>
              <w:pStyle w:val="11"/>
              <w:jc w:val="center"/>
              <w:rPr>
                <w:rFonts w:hint="eastAsia" w:eastAsiaTheme="minorEastAsia"/>
                <w:lang w:eastAsia="zh-CN"/>
              </w:rPr>
            </w:pPr>
            <w:r>
              <w:rPr>
                <w:rFonts w:hint="eastAsia" w:eastAsiaTheme="minorEastAsia"/>
                <w:lang w:eastAsia="zh-CN"/>
              </w:rPr>
              <w:t>132.5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jc w:val="both"/>
              <w:rPr>
                <w:lang w:eastAsia="zh-CN"/>
              </w:rPr>
            </w:pPr>
          </w:p>
          <w:p>
            <w:pPr>
              <w:pStyle w:val="13"/>
              <w:rPr>
                <w:lang w:eastAsia="zh-CN"/>
              </w:rPr>
            </w:pPr>
            <w:r>
              <w:rPr>
                <w:rFonts w:hint="eastAsia"/>
                <w:lang w:eastAsia="zh-CN"/>
              </w:rPr>
              <w:t>2</w:t>
            </w:r>
          </w:p>
        </w:tc>
        <w:tc>
          <w:tcPr>
            <w:tcW w:w="3798" w:type="dxa"/>
            <w:vAlign w:val="center"/>
          </w:tcPr>
          <w:p>
            <w:pPr>
              <w:pStyle w:val="12"/>
              <w:rPr>
                <w:lang w:eastAsia="zh-CN"/>
              </w:rPr>
            </w:pPr>
            <w:r>
              <w:rPr>
                <w:rFonts w:hint="eastAsia"/>
                <w:lang w:eastAsia="zh-CN"/>
              </w:rP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3798" w:type="dxa"/>
            <w:vAlign w:val="center"/>
          </w:tcPr>
          <w:p>
            <w:pPr>
              <w:pStyle w:val="12"/>
              <w:rPr>
                <w:lang w:eastAsia="zh-CN"/>
              </w:rPr>
            </w:pPr>
            <w:r>
              <w:rPr>
                <w:rFonts w:hint="eastAsia"/>
                <w:lang w:eastAsia="zh-CN"/>
              </w:rPr>
              <w:t>二、公务用车购置及运维费</w:t>
            </w:r>
          </w:p>
        </w:tc>
        <w:tc>
          <w:tcPr>
            <w:tcW w:w="2382" w:type="dxa"/>
            <w:vAlign w:val="center"/>
          </w:tcPr>
          <w:p>
            <w:pPr>
              <w:pStyle w:val="11"/>
              <w:jc w:val="center"/>
              <w:rPr>
                <w:rFonts w:hint="eastAsia" w:eastAsiaTheme="minorEastAsia"/>
                <w:lang w:eastAsia="zh-CN"/>
              </w:rPr>
            </w:pPr>
            <w:r>
              <w:rPr>
                <w:rFonts w:hint="eastAsia" w:eastAsiaTheme="minorEastAsia"/>
                <w:lang w:eastAsia="zh-CN"/>
              </w:rPr>
              <w:t>112.5</w:t>
            </w:r>
          </w:p>
        </w:tc>
        <w:tc>
          <w:tcPr>
            <w:tcW w:w="2381" w:type="dxa"/>
            <w:vAlign w:val="center"/>
          </w:tcPr>
          <w:p>
            <w:pPr>
              <w:pStyle w:val="11"/>
              <w:jc w:val="center"/>
              <w:rPr>
                <w:rFonts w:hint="eastAsia" w:eastAsiaTheme="minorEastAsia"/>
                <w:lang w:eastAsia="zh-CN"/>
              </w:rPr>
            </w:pPr>
            <w:r>
              <w:rPr>
                <w:rFonts w:hint="eastAsia" w:eastAsiaTheme="minorEastAsia"/>
                <w:lang w:eastAsia="zh-CN"/>
              </w:rPr>
              <w:t>112.5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3798" w:type="dxa"/>
            <w:vAlign w:val="center"/>
          </w:tcPr>
          <w:p>
            <w:pPr>
              <w:pStyle w:val="12"/>
              <w:ind w:firstLine="420" w:firstLineChars="200"/>
              <w:rPr>
                <w:lang w:eastAsia="zh-CN"/>
              </w:rPr>
            </w:pPr>
            <w:r>
              <w:rPr>
                <w:rFonts w:hint="eastAsia"/>
                <w:lang w:eastAsia="zh-CN"/>
              </w:rPr>
              <w:t>其中：公务用车购置费</w:t>
            </w:r>
          </w:p>
        </w:tc>
        <w:tc>
          <w:tcPr>
            <w:tcW w:w="2382" w:type="dxa"/>
            <w:vAlign w:val="center"/>
          </w:tcPr>
          <w:p>
            <w:pPr>
              <w:pStyle w:val="11"/>
              <w:jc w:val="center"/>
              <w:rPr>
                <w:rFonts w:hint="eastAsia" w:eastAsiaTheme="minorEastAsia"/>
                <w:lang w:eastAsia="zh-CN"/>
              </w:rPr>
            </w:pPr>
            <w:r>
              <w:rPr>
                <w:rFonts w:hint="eastAsia" w:eastAsiaTheme="minorEastAsia"/>
                <w:lang w:eastAsia="zh-CN"/>
              </w:rPr>
              <w:t>20</w:t>
            </w:r>
          </w:p>
        </w:tc>
        <w:tc>
          <w:tcPr>
            <w:tcW w:w="2381" w:type="dxa"/>
            <w:vAlign w:val="center"/>
          </w:tcPr>
          <w:p>
            <w:pPr>
              <w:pStyle w:val="11"/>
              <w:jc w:val="center"/>
              <w:rPr>
                <w:rFonts w:hint="eastAsia" w:eastAsiaTheme="minorEastAsia"/>
                <w:lang w:eastAsia="zh-CN"/>
              </w:rPr>
            </w:pPr>
            <w:r>
              <w:rPr>
                <w:rFonts w:hint="eastAsia" w:eastAsiaTheme="minorEastAsia"/>
                <w:lang w:eastAsia="zh-CN"/>
              </w:rPr>
              <w:t>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3798" w:type="dxa"/>
            <w:vAlign w:val="center"/>
          </w:tcPr>
          <w:p>
            <w:pPr>
              <w:pStyle w:val="12"/>
              <w:rPr>
                <w:lang w:eastAsia="zh-CN"/>
              </w:rPr>
            </w:pPr>
            <w:r>
              <w:rPr>
                <w:rFonts w:hint="eastAsia"/>
                <w:lang w:eastAsia="zh-CN"/>
              </w:rPr>
              <w:t xml:space="preserve">          公务用车运行维护费</w:t>
            </w:r>
          </w:p>
        </w:tc>
        <w:tc>
          <w:tcPr>
            <w:tcW w:w="2382" w:type="dxa"/>
            <w:vAlign w:val="center"/>
          </w:tcPr>
          <w:p>
            <w:pPr>
              <w:pStyle w:val="11"/>
              <w:jc w:val="center"/>
              <w:rPr>
                <w:rFonts w:hint="eastAsia" w:eastAsiaTheme="minorEastAsia"/>
                <w:lang w:eastAsia="zh-CN"/>
              </w:rPr>
            </w:pPr>
            <w:r>
              <w:rPr>
                <w:rFonts w:hint="eastAsia" w:eastAsiaTheme="minorEastAsia"/>
                <w:lang w:eastAsia="zh-CN"/>
              </w:rPr>
              <w:t>92.5</w:t>
            </w:r>
          </w:p>
        </w:tc>
        <w:tc>
          <w:tcPr>
            <w:tcW w:w="2381" w:type="dxa"/>
            <w:vAlign w:val="center"/>
          </w:tcPr>
          <w:p>
            <w:pPr>
              <w:pStyle w:val="11"/>
              <w:jc w:val="center"/>
              <w:rPr>
                <w:rFonts w:hint="eastAsia" w:eastAsiaTheme="minorEastAsia"/>
                <w:lang w:eastAsia="zh-CN"/>
              </w:rPr>
            </w:pPr>
            <w:r>
              <w:rPr>
                <w:rFonts w:hint="eastAsia" w:eastAsiaTheme="minorEastAsia"/>
                <w:lang w:eastAsia="zh-CN"/>
              </w:rPr>
              <w:t>92.5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3798" w:type="dxa"/>
            <w:vAlign w:val="center"/>
          </w:tcPr>
          <w:p>
            <w:pPr>
              <w:pStyle w:val="12"/>
              <w:rPr>
                <w:lang w:eastAsia="zh-CN"/>
              </w:rPr>
            </w:pPr>
            <w:r>
              <w:rPr>
                <w:rFonts w:hint="eastAsia"/>
                <w:lang w:eastAsia="zh-CN"/>
              </w:rPr>
              <w:t>三、公务接待费</w:t>
            </w:r>
          </w:p>
        </w:tc>
        <w:tc>
          <w:tcPr>
            <w:tcW w:w="2382" w:type="dxa"/>
            <w:vAlign w:val="center"/>
          </w:tcPr>
          <w:p>
            <w:pPr>
              <w:pStyle w:val="11"/>
              <w:jc w:val="center"/>
              <w:rPr>
                <w:rFonts w:hint="eastAsia" w:eastAsiaTheme="minorEastAsia"/>
                <w:lang w:eastAsia="zh-CN"/>
              </w:rPr>
            </w:pPr>
            <w:r>
              <w:rPr>
                <w:rFonts w:hint="eastAsia" w:eastAsiaTheme="minorEastAsia"/>
                <w:lang w:eastAsia="zh-CN"/>
              </w:rPr>
              <w:t>20</w:t>
            </w:r>
          </w:p>
        </w:tc>
        <w:tc>
          <w:tcPr>
            <w:tcW w:w="2381" w:type="dxa"/>
            <w:vAlign w:val="center"/>
          </w:tcPr>
          <w:p>
            <w:pPr>
              <w:pStyle w:val="11"/>
              <w:jc w:val="center"/>
              <w:rPr>
                <w:rFonts w:hint="eastAsia" w:eastAsiaTheme="minorEastAsia"/>
                <w:lang w:eastAsia="zh-CN"/>
              </w:rPr>
            </w:pPr>
            <w:r>
              <w:rPr>
                <w:rFonts w:hint="eastAsia" w:eastAsiaTheme="minorEastAsia"/>
                <w:lang w:eastAsia="zh-CN"/>
              </w:rPr>
              <w:t>20</w:t>
            </w:r>
          </w:p>
        </w:tc>
        <w:tc>
          <w:tcPr>
            <w:tcW w:w="2381" w:type="dxa"/>
            <w:vAlign w:val="center"/>
          </w:tcPr>
          <w:p>
            <w:pPr>
              <w:pStyle w:val="11"/>
            </w:pPr>
          </w:p>
        </w:tc>
        <w:tc>
          <w:tcPr>
            <w:tcW w:w="2381" w:type="dxa"/>
            <w:vAlign w:val="center"/>
          </w:tcPr>
          <w:p>
            <w:pPr>
              <w:pStyle w:val="11"/>
            </w:pPr>
          </w:p>
        </w:tc>
      </w:tr>
    </w:tbl>
    <w:p>
      <w:pPr>
        <w:ind w:firstLine="420"/>
        <w:rPr>
          <w:rFonts w:hint="eastAsia" w:ascii="方正书宋_GBK" w:hAnsi="方正书宋_GBK" w:cs="方正书宋_GBK" w:eastAsiaTheme="minorEastAsia"/>
          <w:sz w:val="21"/>
          <w:lang w:eastAsia="zh-CN"/>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pPr>
      <w:r>
        <w:rPr>
          <w:rFonts w:ascii="方正小标宋_GBK" w:hAnsi="方正小标宋_GBK" w:eastAsia="方正小标宋_GBK" w:cs="方正小标宋_GBK"/>
          <w:sz w:val="44"/>
        </w:rPr>
        <w:t>中共衡水市纪律检查委员会2022年部门预算信息公开情况说明</w:t>
      </w:r>
    </w:p>
    <w:p>
      <w:pPr>
        <w:spacing w:line="500" w:lineRule="exact"/>
        <w:ind w:firstLine="560"/>
      </w:pPr>
      <w:r>
        <w:rPr>
          <w:rFonts w:eastAsia="方正仿宋_GBK"/>
          <w:sz w:val="28"/>
        </w:rPr>
        <w:t>按照《</w:t>
      </w:r>
      <w:r>
        <w:rPr>
          <w:rFonts w:hint="eastAsia" w:eastAsia="方正仿宋_GBK"/>
          <w:sz w:val="28"/>
          <w:lang w:eastAsia="zh-CN"/>
        </w:rPr>
        <w:t>中华人民共和国</w:t>
      </w:r>
      <w:bookmarkStart w:id="18" w:name="_GoBack"/>
      <w:bookmarkEnd w:id="18"/>
      <w:r>
        <w:rPr>
          <w:rFonts w:eastAsia="方正仿宋_GBK"/>
          <w:sz w:val="28"/>
        </w:rPr>
        <w:t>预算法》、《地方预决算公开操作规程》和《关于进一步推进预算公开工作的实施意见》规定，现将中共衡水市纪律检查委员会2022年部门预算公开如下：</w:t>
      </w:r>
    </w:p>
    <w:p>
      <w:pPr>
        <w:spacing w:before="10" w:after="10" w:line="360" w:lineRule="auto"/>
        <w:ind w:firstLine="640"/>
        <w:outlineLvl w:val="2"/>
      </w:pPr>
      <w:bookmarkStart w:id="9" w:name="_Toc_3_3_0000000010"/>
      <w:r>
        <w:rPr>
          <w:rFonts w:ascii="黑体" w:hAnsi="黑体" w:eastAsia="黑体" w:cs="黑体"/>
          <w:sz w:val="32"/>
        </w:rPr>
        <w:t>一、部门职责及机构设置情况</w:t>
      </w:r>
      <w:bookmarkEnd w:id="9"/>
    </w:p>
    <w:p>
      <w:pPr>
        <w:ind w:firstLine="640"/>
      </w:pPr>
      <w:r>
        <w:rPr>
          <w:rFonts w:ascii="方正楷体_GBK" w:hAnsi="方正楷体_GBK" w:eastAsia="方正楷体_GBK" w:cs="方正楷体_GBK"/>
          <w:b/>
          <w:sz w:val="32"/>
        </w:rPr>
        <w:t>部门职责：</w:t>
      </w:r>
    </w:p>
    <w:p>
      <w:pPr>
        <w:pStyle w:val="17"/>
      </w:pPr>
      <w: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17"/>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17"/>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（七）负责综合分析全面从严治党、党风廉政建设和反腐败工作情况，对纪检监察工作重要理论及实践问题进行调查研究；参与起草修订有关法律、法规和规范性文件。</w:t>
      </w:r>
    </w:p>
    <w:p>
      <w:pPr>
        <w:pStyle w:val="17"/>
      </w:pPr>
      <w:r>
        <w:t>（八）负责组织协调全市反腐败追逃追赃和防逃工作，督促有关单位做好相关工作。</w:t>
      </w:r>
    </w:p>
    <w:p>
      <w:pPr>
        <w:pStyle w:val="17"/>
      </w:pPr>
      <w:r>
        <w:t>（九）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机构、县级纪检监察机关、市管企业和市属院校纪检监察机构领导班子建设有关工作；组织和指导全市纪检监察系统干部教育培训工作等。</w:t>
      </w:r>
    </w:p>
    <w:p>
      <w:pPr>
        <w:pStyle w:val="17"/>
      </w:pPr>
      <w:r>
        <w:t>（十）完成省纪委监委、市委交办的其他任务。</w:t>
      </w:r>
    </w:p>
    <w:p>
      <w:pPr>
        <w:ind w:firstLine="640"/>
      </w:pPr>
      <w:r>
        <w:rPr>
          <w:rFonts w:ascii="方正楷体_GBK" w:hAnsi="方正楷体_GBK" w:eastAsia="方正楷体_GBK" w:cs="方正楷体_GBK"/>
          <w:b/>
          <w:sz w:val="32"/>
        </w:rPr>
        <w:t>机构设置：</w:t>
      </w:r>
    </w:p>
    <w:p>
      <w:pPr>
        <w:jc w:val="center"/>
      </w:pPr>
      <w:r>
        <w:rPr>
          <w:rFonts w:ascii="方正小标宋_GBK" w:hAnsi="方正小标宋_GBK" w:eastAsia="方正小标宋_GBK" w:cs="方正小标宋_GBK"/>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中共衡水市纪律检查委员会本级</w:t>
            </w:r>
          </w:p>
        </w:tc>
        <w:tc>
          <w:tcPr>
            <w:tcW w:w="1843" w:type="dxa"/>
            <w:vAlign w:val="center"/>
          </w:tcPr>
          <w:p>
            <w:pPr>
              <w:pStyle w:val="13"/>
            </w:pPr>
            <w:r>
              <w:t>行政</w:t>
            </w:r>
          </w:p>
        </w:tc>
        <w:tc>
          <w:tcPr>
            <w:tcW w:w="2126" w:type="dxa"/>
            <w:vAlign w:val="center"/>
          </w:tcPr>
          <w:p>
            <w:pPr>
              <w:pStyle w:val="13"/>
            </w:pPr>
            <w:r>
              <w:t>副厅（地）级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衡水市廉政教育基地</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sz w:val="32"/>
        </w:rPr>
        <w:t>二、部门预算安排的总体情况</w:t>
      </w:r>
      <w:bookmarkEnd w:id="10"/>
    </w:p>
    <w:p>
      <w:pPr>
        <w:spacing w:line="500" w:lineRule="exact"/>
        <w:ind w:firstLine="560" w:firstLineChars="200"/>
        <w:rPr>
          <w:rFonts w:eastAsia="方正仿宋_GBK"/>
          <w:sz w:val="28"/>
          <w:lang w:eastAsia="zh-CN"/>
        </w:rPr>
      </w:pPr>
      <w:bookmarkStart w:id="11" w:name="_Toc_3_3_0000000012"/>
      <w:r>
        <w:rPr>
          <w:rFonts w:eastAsia="方正仿宋_GBK"/>
          <w:sz w:val="28"/>
        </w:rPr>
        <w:t>按照预算管理有关规定，目前我单位预算的编制实行综合预算管理，即全部收入和支出都反映在预算中。</w:t>
      </w:r>
    </w:p>
    <w:p>
      <w:pPr>
        <w:ind w:firstLine="560" w:firstLineChars="200"/>
        <w:rPr>
          <w:rFonts w:hint="eastAsia" w:eastAsia="方正仿宋_GBK"/>
          <w:sz w:val="28"/>
          <w:lang w:eastAsia="zh-CN"/>
        </w:rPr>
      </w:pPr>
      <w:r>
        <w:rPr>
          <w:rFonts w:hint="eastAsia" w:eastAsia="方正仿宋_GBK"/>
          <w:sz w:val="28"/>
          <w:lang w:eastAsia="zh-CN"/>
        </w:rPr>
        <w:t>2022年预算收入</w:t>
      </w:r>
      <w:r>
        <w:rPr>
          <w:rFonts w:hint="eastAsia" w:eastAsia="方正仿宋_GBK"/>
          <w:sz w:val="28"/>
        </w:rPr>
        <w:t>9812.52</w:t>
      </w:r>
      <w:r>
        <w:rPr>
          <w:rFonts w:hint="eastAsia" w:eastAsia="方正仿宋_GBK"/>
          <w:sz w:val="28"/>
          <w:lang w:eastAsia="zh-CN"/>
        </w:rPr>
        <w:t>万元，</w:t>
      </w:r>
      <w:r>
        <w:rPr>
          <w:rFonts w:hint="eastAsia" w:eastAsia="方正仿宋_GBK"/>
          <w:sz w:val="28"/>
        </w:rPr>
        <w:t>全部为一般公共预算拨款收入。2022年支出预算9812.52万元，其中基本支出5857.74万元，包括人员经费5184.52万元和日常公用经费</w:t>
      </w:r>
      <w:r>
        <w:rPr>
          <w:rFonts w:hint="eastAsia" w:eastAsia="方正仿宋_GBK"/>
          <w:sz w:val="28"/>
          <w:lang w:eastAsia="zh-CN"/>
        </w:rPr>
        <w:t>673.22</w:t>
      </w:r>
      <w:r>
        <w:rPr>
          <w:rFonts w:hint="eastAsia" w:eastAsia="方正仿宋_GBK"/>
          <w:sz w:val="28"/>
        </w:rPr>
        <w:t>万元，项目支出3954.78万元，主要为纪律审查工作经费、监督检查工作经费、保障基地运行的相关经费等</w:t>
      </w:r>
      <w:r>
        <w:rPr>
          <w:rFonts w:hint="eastAsia" w:eastAsia="方正仿宋_GBK"/>
          <w:sz w:val="28"/>
          <w:lang w:eastAsia="zh-CN"/>
        </w:rPr>
        <w:t>。</w:t>
      </w:r>
    </w:p>
    <w:p>
      <w:pPr>
        <w:spacing w:line="500" w:lineRule="exact"/>
        <w:ind w:firstLine="560" w:firstLineChars="200"/>
        <w:rPr>
          <w:rFonts w:hint="default" w:eastAsia="方正仿宋_GBK"/>
          <w:color w:val="auto"/>
          <w:sz w:val="28"/>
          <w:lang w:val="en-US" w:eastAsia="zh-CN"/>
        </w:rPr>
      </w:pPr>
      <w:r>
        <w:rPr>
          <w:rFonts w:hint="eastAsia" w:eastAsia="方正仿宋_GBK"/>
          <w:color w:val="auto"/>
          <w:sz w:val="28"/>
          <w:lang w:val="en-US" w:eastAsia="zh-CN"/>
        </w:rPr>
        <w:t>1、收入说明</w:t>
      </w:r>
    </w:p>
    <w:p>
      <w:pPr>
        <w:pStyle w:val="18"/>
      </w:pPr>
      <w:r>
        <w:t>2022</w:t>
      </w:r>
      <w:r>
        <w:rPr>
          <w:rFonts w:hint="eastAsia"/>
        </w:rPr>
        <w:t>年预算收入</w:t>
      </w:r>
      <w:r>
        <w:rPr>
          <w:rFonts w:hint="eastAsia"/>
          <w:color w:val="auto"/>
          <w:sz w:val="28"/>
          <w:lang w:val="en-US" w:eastAsia="zh-CN"/>
        </w:rPr>
        <w:t>9812.52</w:t>
      </w:r>
      <w:r>
        <w:rPr>
          <w:rFonts w:hint="eastAsia"/>
        </w:rPr>
        <w:t>万元，其中：一般公共预算收入</w:t>
      </w:r>
      <w:r>
        <w:rPr>
          <w:rFonts w:hint="eastAsia"/>
          <w:color w:val="auto"/>
          <w:sz w:val="28"/>
          <w:lang w:val="en-US" w:eastAsia="zh-CN"/>
        </w:rPr>
        <w:t>9812.52</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18"/>
      </w:pPr>
      <w:r>
        <w:t>2</w:t>
      </w:r>
      <w:r>
        <w:rPr>
          <w:rFonts w:hint="eastAsia"/>
        </w:rPr>
        <w:t>、支出说明</w:t>
      </w:r>
    </w:p>
    <w:p>
      <w:pPr>
        <w:pStyle w:val="18"/>
      </w:pPr>
      <w:r>
        <w:t>2022</w:t>
      </w:r>
      <w:r>
        <w:rPr>
          <w:rFonts w:hint="eastAsia"/>
        </w:rPr>
        <w:t>年支出预算</w:t>
      </w:r>
      <w:r>
        <w:rPr>
          <w:rFonts w:hint="eastAsia"/>
          <w:color w:val="auto"/>
          <w:sz w:val="28"/>
          <w:lang w:val="en-US" w:eastAsia="zh-CN"/>
        </w:rPr>
        <w:t>9812.52</w:t>
      </w:r>
      <w:r>
        <w:rPr>
          <w:rFonts w:hint="eastAsia"/>
        </w:rPr>
        <w:t>万元，其中，基本支出</w:t>
      </w:r>
      <w:r>
        <w:rPr>
          <w:rFonts w:hint="eastAsia"/>
          <w:color w:val="auto"/>
          <w:sz w:val="28"/>
          <w:lang w:val="en-US" w:eastAsia="zh-CN"/>
        </w:rPr>
        <w:t>5857.74</w:t>
      </w:r>
      <w:r>
        <w:rPr>
          <w:rFonts w:hint="eastAsia"/>
        </w:rPr>
        <w:t>万元，包括人员经费</w:t>
      </w:r>
      <w:r>
        <w:rPr>
          <w:rFonts w:hint="eastAsia"/>
          <w:color w:val="auto"/>
          <w:sz w:val="28"/>
          <w:lang w:val="en-US" w:eastAsia="zh-CN"/>
        </w:rPr>
        <w:t>5184.52</w:t>
      </w:r>
      <w:r>
        <w:rPr>
          <w:rFonts w:hint="eastAsia"/>
        </w:rPr>
        <w:t>万元和日常公用经费</w:t>
      </w:r>
      <w:r>
        <w:rPr>
          <w:rFonts w:hint="eastAsia"/>
          <w:color w:val="auto"/>
          <w:sz w:val="28"/>
          <w:lang w:val="en-US" w:eastAsia="zh-CN"/>
        </w:rPr>
        <w:t>673.22</w:t>
      </w:r>
      <w:r>
        <w:rPr>
          <w:rFonts w:hint="eastAsia"/>
        </w:rPr>
        <w:t>万元；项目支出</w:t>
      </w:r>
      <w:r>
        <w:rPr>
          <w:rFonts w:hint="eastAsia"/>
          <w:color w:val="auto"/>
          <w:sz w:val="28"/>
          <w:lang w:val="en-US" w:eastAsia="zh-CN"/>
        </w:rPr>
        <w:t>3954.78</w:t>
      </w:r>
      <w:r>
        <w:rPr>
          <w:rFonts w:hint="eastAsia"/>
        </w:rPr>
        <w:t>万元，主要为保障</w:t>
      </w:r>
      <w:r>
        <w:rPr>
          <w:rFonts w:hint="eastAsia"/>
          <w:lang w:eastAsia="zh-CN"/>
        </w:rPr>
        <w:t>市纪委</w:t>
      </w:r>
      <w:r>
        <w:rPr>
          <w:rFonts w:hint="eastAsia"/>
        </w:rPr>
        <w:t>各项重点工作和</w:t>
      </w:r>
      <w:r>
        <w:rPr>
          <w:rFonts w:hint="eastAsia"/>
          <w:lang w:eastAsia="zh-CN"/>
        </w:rPr>
        <w:t>市纪委</w:t>
      </w:r>
      <w:r>
        <w:rPr>
          <w:rFonts w:hint="eastAsia"/>
        </w:rPr>
        <w:t>运转相关项目。</w:t>
      </w:r>
    </w:p>
    <w:p>
      <w:pPr>
        <w:pStyle w:val="18"/>
      </w:pPr>
      <w:r>
        <w:t>3</w:t>
      </w:r>
      <w:r>
        <w:rPr>
          <w:rFonts w:hint="eastAsia"/>
        </w:rPr>
        <w:t>、比上年增减情况</w:t>
      </w:r>
    </w:p>
    <w:p>
      <w:pPr>
        <w:pStyle w:val="18"/>
        <w:rPr>
          <w:rFonts w:hint="eastAsia"/>
        </w:rPr>
      </w:pPr>
      <w:r>
        <w:t>2022</w:t>
      </w:r>
      <w:r>
        <w:rPr>
          <w:rFonts w:hint="eastAsia"/>
        </w:rPr>
        <w:t>年预算收支安排</w:t>
      </w:r>
      <w:r>
        <w:rPr>
          <w:rFonts w:hint="eastAsia"/>
          <w:color w:val="auto"/>
          <w:sz w:val="28"/>
          <w:lang w:val="en-US" w:eastAsia="zh-CN"/>
        </w:rPr>
        <w:t>9812.52</w:t>
      </w:r>
      <w:r>
        <w:rPr>
          <w:rFonts w:hint="eastAsia"/>
        </w:rPr>
        <w:t>万元，较</w:t>
      </w:r>
      <w:r>
        <w:t>2021</w:t>
      </w:r>
      <w:r>
        <w:rPr>
          <w:rFonts w:hint="eastAsia"/>
        </w:rPr>
        <w:t>年预算</w:t>
      </w:r>
      <w:r>
        <w:rPr>
          <w:rFonts w:hint="eastAsia"/>
          <w:lang w:eastAsia="zh-CN"/>
        </w:rPr>
        <w:t>增加</w:t>
      </w:r>
      <w:r>
        <w:rPr>
          <w:rFonts w:hint="eastAsia"/>
          <w:lang w:val="en-US" w:eastAsia="zh-CN"/>
        </w:rPr>
        <w:t>889.56</w:t>
      </w:r>
      <w:r>
        <w:rPr>
          <w:rFonts w:hint="eastAsia"/>
        </w:rPr>
        <w:t>万元，其中：基本支出增加</w:t>
      </w:r>
      <w:r>
        <w:rPr>
          <w:rFonts w:hint="eastAsia"/>
          <w:lang w:val="en-US" w:eastAsia="zh-CN"/>
        </w:rPr>
        <w:t>300.78</w:t>
      </w:r>
      <w:r>
        <w:rPr>
          <w:rFonts w:hint="eastAsia"/>
        </w:rPr>
        <w:t>万元，主要为增加人员经费支出；项目支出</w:t>
      </w:r>
      <w:r>
        <w:rPr>
          <w:rFonts w:hint="eastAsia"/>
          <w:lang w:eastAsia="zh-CN"/>
        </w:rPr>
        <w:t>增加</w:t>
      </w:r>
      <w:r>
        <w:rPr>
          <w:rFonts w:hint="eastAsia"/>
          <w:lang w:val="en-US" w:eastAsia="zh-CN"/>
        </w:rPr>
        <w:t>588.78</w:t>
      </w:r>
      <w:r>
        <w:rPr>
          <w:rFonts w:hint="eastAsia"/>
        </w:rPr>
        <w:t>万元，主要是</w:t>
      </w:r>
      <w:r>
        <w:rPr>
          <w:rFonts w:hint="eastAsia"/>
          <w:lang w:eastAsia="zh-CN"/>
        </w:rPr>
        <w:t>信息网络建设费用、</w:t>
      </w:r>
      <w:r>
        <w:rPr>
          <w:rFonts w:hint="eastAsia"/>
          <w:color w:val="auto"/>
          <w:lang w:val="en-US" w:eastAsia="zh-CN"/>
        </w:rPr>
        <w:t>提升改造等项目支出</w:t>
      </w:r>
      <w:r>
        <w:rPr>
          <w:rFonts w:hint="eastAsia"/>
          <w:lang w:eastAsia="zh-CN"/>
        </w:rPr>
        <w:t>增加</w:t>
      </w:r>
      <w:r>
        <w:rPr>
          <w:rFonts w:hint="eastAsia"/>
        </w:rPr>
        <w:t>。</w:t>
      </w:r>
    </w:p>
    <w:p>
      <w:pPr>
        <w:spacing w:line="500" w:lineRule="exact"/>
        <w:ind w:firstLine="560"/>
      </w:pPr>
      <w:r>
        <w:rPr>
          <w:rFonts w:ascii="黑体" w:hAnsi="黑体" w:eastAsia="黑体" w:cs="黑体"/>
          <w:sz w:val="32"/>
        </w:rPr>
        <w:t>三、机关运行经费安排情况</w:t>
      </w:r>
      <w:bookmarkEnd w:id="11"/>
    </w:p>
    <w:p>
      <w:pPr>
        <w:spacing w:line="500" w:lineRule="exact"/>
        <w:ind w:firstLine="560" w:firstLineChars="200"/>
        <w:rPr>
          <w:rFonts w:hint="eastAsia" w:eastAsia="方正仿宋_GBK"/>
          <w:sz w:val="28"/>
          <w:lang w:eastAsia="zh-CN"/>
        </w:rPr>
      </w:pPr>
      <w:r>
        <w:rPr>
          <w:rFonts w:hint="eastAsia" w:eastAsia="方正仿宋_GBK"/>
          <w:sz w:val="28"/>
        </w:rPr>
        <w:t>2022年</w:t>
      </w:r>
      <w:r>
        <w:rPr>
          <w:rFonts w:hint="eastAsia" w:eastAsia="方正仿宋_GBK"/>
          <w:sz w:val="28"/>
          <w:lang w:eastAsia="zh-CN"/>
        </w:rPr>
        <w:t>，我单位运行经费共计安排673.22万元</w:t>
      </w:r>
      <w:r>
        <w:rPr>
          <w:rFonts w:hint="eastAsia" w:eastAsia="方正仿宋_GBK"/>
          <w:sz w:val="28"/>
        </w:rPr>
        <w:t>，</w:t>
      </w:r>
      <w:r>
        <w:rPr>
          <w:rFonts w:hint="eastAsia" w:eastAsia="方正仿宋_GBK"/>
          <w:sz w:val="28"/>
          <w:lang w:eastAsia="zh-CN"/>
        </w:rPr>
        <w:t>主要用于商品和服务支出、办公费、工会经费等支出。</w:t>
      </w:r>
    </w:p>
    <w:p>
      <w:pPr>
        <w:spacing w:before="10" w:after="10" w:line="360" w:lineRule="auto"/>
        <w:ind w:firstLine="640"/>
        <w:outlineLvl w:val="2"/>
        <w:rPr>
          <w:rFonts w:ascii="黑体" w:hAnsi="黑体" w:eastAsia="黑体" w:cs="黑体"/>
          <w:sz w:val="32"/>
          <w:lang w:eastAsia="zh-CN"/>
        </w:rPr>
      </w:pPr>
      <w:bookmarkStart w:id="12" w:name="_Toc_3_3_0000000013"/>
      <w:r>
        <w:rPr>
          <w:rFonts w:ascii="黑体" w:hAnsi="黑体" w:eastAsia="黑体" w:cs="黑体"/>
          <w:sz w:val="32"/>
        </w:rPr>
        <w:t>四、财政拨款“三公”经费预算情况及增减变化原因</w:t>
      </w:r>
      <w:bookmarkEnd w:id="12"/>
    </w:p>
    <w:p>
      <w:pPr>
        <w:pStyle w:val="32"/>
        <w:rPr>
          <w:rFonts w:hint="eastAsia"/>
          <w:color w:val="auto"/>
          <w:lang w:eastAsia="zh-CN"/>
        </w:rPr>
      </w:pPr>
      <w:bookmarkStart w:id="13" w:name="_Toc_3_3_0000000014"/>
      <w:r>
        <w:rPr>
          <w:rFonts w:hint="eastAsia"/>
          <w:color w:val="auto"/>
          <w:lang w:eastAsia="zh-CN"/>
        </w:rPr>
        <w:t>2022年，我单位财政拨款“三公”经费预算安排1</w:t>
      </w:r>
      <w:r>
        <w:rPr>
          <w:rFonts w:hint="eastAsia"/>
          <w:color w:val="auto"/>
          <w:lang w:val="en-US" w:eastAsia="zh-CN"/>
        </w:rPr>
        <w:t>33</w:t>
      </w:r>
      <w:r>
        <w:rPr>
          <w:rFonts w:hint="eastAsia"/>
          <w:color w:val="auto"/>
          <w:lang w:eastAsia="zh-CN"/>
        </w:rPr>
        <w:t>.5万元，其中</w:t>
      </w:r>
      <w:r>
        <w:rPr>
          <w:rFonts w:hint="eastAsia"/>
        </w:rPr>
        <w:t>因公出国（境）费</w:t>
      </w:r>
      <w:r>
        <w:rPr>
          <w:rFonts w:hint="eastAsia"/>
          <w:lang w:val="en-US" w:eastAsia="zh-CN"/>
        </w:rPr>
        <w:t>0</w:t>
      </w:r>
      <w:r>
        <w:rPr>
          <w:rFonts w:hint="eastAsia"/>
        </w:rPr>
        <w:t>万元，较上年持平，无增减变化；</w:t>
      </w:r>
      <w:r>
        <w:rPr>
          <w:rFonts w:hint="eastAsia"/>
          <w:color w:val="auto"/>
          <w:lang w:eastAsia="zh-CN"/>
        </w:rPr>
        <w:t>公务用车购置及运维费</w:t>
      </w:r>
      <w:r>
        <w:rPr>
          <w:rFonts w:hint="eastAsia"/>
          <w:color w:val="auto"/>
          <w:lang w:val="en-US" w:eastAsia="zh-CN"/>
        </w:rPr>
        <w:t>113</w:t>
      </w:r>
      <w:r>
        <w:rPr>
          <w:rFonts w:hint="eastAsia"/>
          <w:color w:val="auto"/>
          <w:lang w:eastAsia="zh-CN"/>
        </w:rPr>
        <w:t>.5万元，</w:t>
      </w:r>
      <w:r>
        <w:rPr>
          <w:rFonts w:hint="eastAsia"/>
          <w:color w:val="auto"/>
          <w:lang w:val="en-US" w:eastAsia="zh-CN"/>
        </w:rPr>
        <w:t>较上年度减少1万元，主要是厉行节约，压减</w:t>
      </w:r>
      <w:r>
        <w:rPr>
          <w:color w:val="auto"/>
        </w:rPr>
        <w:t>公务用车运维费</w:t>
      </w:r>
      <w:r>
        <w:rPr>
          <w:rFonts w:hint="eastAsia"/>
          <w:color w:val="auto"/>
          <w:lang w:eastAsia="zh-CN"/>
        </w:rPr>
        <w:t>（其中：公务用车购置费为20万元，</w:t>
      </w:r>
      <w:r>
        <w:rPr>
          <w:rFonts w:hint="eastAsia"/>
        </w:rPr>
        <w:t>较上年持平，无增减变化；</w:t>
      </w:r>
      <w:r>
        <w:rPr>
          <w:rFonts w:hint="eastAsia"/>
          <w:color w:val="auto"/>
          <w:lang w:eastAsia="zh-CN"/>
        </w:rPr>
        <w:t>公务用车运维费</w:t>
      </w:r>
      <w:r>
        <w:rPr>
          <w:rFonts w:hint="eastAsia"/>
          <w:color w:val="auto"/>
          <w:lang w:val="en-US" w:eastAsia="zh-CN"/>
        </w:rPr>
        <w:t>93.5</w:t>
      </w:r>
      <w:r>
        <w:rPr>
          <w:rFonts w:hint="eastAsia"/>
          <w:color w:val="auto"/>
          <w:lang w:eastAsia="zh-CN"/>
        </w:rPr>
        <w:t>万元</w:t>
      </w:r>
      <w:r>
        <w:rPr>
          <w:rFonts w:hint="eastAsia"/>
        </w:rPr>
        <w:t>，</w:t>
      </w:r>
      <w:r>
        <w:rPr>
          <w:rFonts w:hint="eastAsia"/>
          <w:color w:val="auto"/>
          <w:lang w:val="en-US" w:eastAsia="zh-CN"/>
        </w:rPr>
        <w:t>较上年度减少1万元，主要是厉行节约，压减</w:t>
      </w:r>
      <w:r>
        <w:rPr>
          <w:color w:val="auto"/>
        </w:rPr>
        <w:t>公务用车运维费</w:t>
      </w:r>
      <w:r>
        <w:rPr>
          <w:rFonts w:hint="eastAsia"/>
          <w:color w:val="auto"/>
          <w:lang w:eastAsia="zh-CN"/>
        </w:rPr>
        <w:t>）；公务接待费20万元，较</w:t>
      </w:r>
      <w:r>
        <w:rPr>
          <w:rFonts w:hint="eastAsia"/>
        </w:rPr>
        <w:t>上年持平，无增减变化</w:t>
      </w:r>
      <w:r>
        <w:rPr>
          <w:rFonts w:hint="eastAsia"/>
          <w:color w:val="auto"/>
          <w:lang w:eastAsia="zh-CN"/>
        </w:rPr>
        <w:t>。</w:t>
      </w:r>
    </w:p>
    <w:p>
      <w:pPr>
        <w:spacing w:before="10" w:after="10" w:line="360" w:lineRule="auto"/>
        <w:ind w:firstLine="640"/>
        <w:outlineLvl w:val="2"/>
        <w:rPr>
          <w:rFonts w:eastAsiaTheme="minorEastAsia"/>
          <w:lang w:eastAsia="zh-CN"/>
        </w:rPr>
      </w:pPr>
    </w:p>
    <w:p>
      <w:pPr>
        <w:spacing w:before="10" w:after="10" w:line="360" w:lineRule="auto"/>
        <w:ind w:firstLine="640"/>
        <w:outlineLvl w:val="2"/>
      </w:pPr>
      <w:r>
        <w:rPr>
          <w:rFonts w:ascii="黑体" w:hAnsi="黑体" w:eastAsia="黑体" w:cs="黑体"/>
          <w:sz w:val="32"/>
        </w:rPr>
        <w:t>五、预算绩效信息</w:t>
      </w:r>
      <w:bookmarkEnd w:id="13"/>
    </w:p>
    <w:p>
      <w:pPr>
        <w:ind w:firstLine="640"/>
      </w:pPr>
      <w:r>
        <w:rPr>
          <w:rFonts w:ascii="方正楷体_GBK" w:hAnsi="方正楷体_GBK" w:eastAsia="方正楷体_GBK" w:cs="方正楷体_GBK"/>
          <w:b/>
          <w:sz w:val="32"/>
        </w:rPr>
        <w:t>第一部分 部门整体绩效目标</w:t>
      </w:r>
    </w:p>
    <w:p>
      <w:pPr>
        <w:spacing w:line="500" w:lineRule="exact"/>
        <w:ind w:firstLine="560"/>
      </w:pPr>
      <w:r>
        <w:rPr>
          <w:rFonts w:eastAsia="方正仿宋_GBK"/>
          <w:sz w:val="28"/>
        </w:rPr>
        <w:t>（一）总体绩效目标</w:t>
      </w:r>
    </w:p>
    <w:p>
      <w:pPr>
        <w:spacing w:line="500" w:lineRule="exact"/>
        <w:ind w:firstLine="560"/>
        <w:rPr>
          <w:rFonts w:eastAsia="方正仿宋_GBK"/>
          <w:sz w:val="28"/>
        </w:rPr>
      </w:pPr>
      <w:r>
        <w:rPr>
          <w:rFonts w:hint="eastAsia" w:eastAsia="方正仿宋_GBK"/>
          <w:sz w:val="28"/>
        </w:rPr>
        <w:t>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现代化经济强市、美丽衡水提供坚强政治保障。</w:t>
      </w:r>
    </w:p>
    <w:p>
      <w:pPr>
        <w:spacing w:line="500" w:lineRule="exact"/>
        <w:ind w:firstLine="560"/>
      </w:pPr>
      <w:r>
        <w:rPr>
          <w:rFonts w:eastAsia="方正仿宋_GBK"/>
          <w:sz w:val="28"/>
        </w:rPr>
        <w:t>（二）分项绩效目标</w:t>
      </w:r>
    </w:p>
    <w:p>
      <w:pPr>
        <w:pStyle w:val="22"/>
      </w:pPr>
      <w:r>
        <w:rPr>
          <w:rFonts w:hint="eastAsia"/>
          <w:lang w:eastAsia="zh-CN"/>
        </w:rPr>
        <w:t>1.</w:t>
      </w:r>
      <w:r>
        <w:t>加大案件惩处力度，有力削减存量、有效遏制增量</w:t>
      </w:r>
    </w:p>
    <w:p>
      <w:pPr>
        <w:pStyle w:val="22"/>
      </w:pPr>
      <w:r>
        <w:t>绩效目标：坚持靶向治疗、精确惩治，紧盯重大工程、重点领域、关键岗位，强化对权力集中、资金密集的部门和行业的监督，加大金融领域反腐力度，依法查处贪污贿赂、滥用职权、玩忽职守、徇私舞弊等职务违法和职务犯罪，坚决查处群众反映强烈的重大典型案件，坚决清除甘于被“围猎”的腐败分子，坚决防范各种利益集团拉拢腐蚀领导干部，推动构建亲清新型政商关系。一体化推进追逃防逃追赃工作，不断增强反腐败工作合力。</w:t>
      </w:r>
    </w:p>
    <w:p>
      <w:pPr>
        <w:pStyle w:val="22"/>
      </w:pPr>
      <w:r>
        <w:t>绩效指标：接到腐败违纪举报线索后一个月内提出处置意见；立案审结率达到100%；调查线索中产生的差旅费符合规定标准。</w:t>
      </w:r>
    </w:p>
    <w:p>
      <w:pPr>
        <w:pStyle w:val="22"/>
      </w:pPr>
      <w:r>
        <w:rPr>
          <w:rFonts w:hint="eastAsia"/>
          <w:lang w:eastAsia="zh-CN"/>
        </w:rPr>
        <w:t>2.</w:t>
      </w:r>
      <w:r>
        <w:t>深入开展纪检监察专项治理，有效抑制腐败和作风问题</w:t>
      </w:r>
    </w:p>
    <w:p>
      <w:pPr>
        <w:pStyle w:val="22"/>
      </w:pPr>
      <w:r>
        <w:t>绩效目标：强化对践行“四个意识”，贯彻党章和其他党内法规，执行党的路线方针政策和决议情况的监督，全力服务保障全市。持续督查落实中央八项规定及其实施细则精神，深挖细查“四风”问题隐形变异的种种表现。深入开展扶贫领域腐败和作风问题专项治理，以作风攻坚促进脱贫攻坚。开展民生领域专项整治，切实解决教育医疗、环境保护、食品药品安全等方面侵害群众利益问题。深挖涉黑腐败和黑恶势力“保护伞”，深化“一案三查”，严肃查处“村霸”、宗族恶势力和黄赌毒背后的腐败行为。坚持一案一剖析、一案一警示，增强警示教育针对性、实效性。</w:t>
      </w:r>
    </w:p>
    <w:p>
      <w:pPr>
        <w:pStyle w:val="22"/>
      </w:pPr>
      <w:r>
        <w:t>绩效指标：全年召开党风廉政建设会议不少于1次；拍摄典型案例警示教育片1部，拍摄年度警示教育片1部。</w:t>
      </w:r>
    </w:p>
    <w:p>
      <w:pPr>
        <w:pStyle w:val="22"/>
      </w:pPr>
      <w:r>
        <w:rPr>
          <w:rFonts w:hint="eastAsia"/>
          <w:lang w:eastAsia="zh-CN"/>
        </w:rPr>
        <w:t>3.</w:t>
      </w:r>
      <w:r>
        <w:t>深化政治巡视，构建全市巡视巡察上下联动监督网</w:t>
      </w:r>
    </w:p>
    <w:p>
      <w:pPr>
        <w:pStyle w:val="22"/>
      </w:pPr>
      <w:r>
        <w:t>绩效目标：把巡视巡察与净化政治生态状况相结合，与整治群众反映强烈的问题相结合，与解决日常监督发现的突出问题相结合，增强监督实效。加大巡视移交问题线索查处力度，持续夯实整改主体责任，完善纪检监察机关、组织部门加强整改日常监督的工作机制。加强对县巡察工作的领导和指导督导，推动市县巡察工作向村（居）延伸。</w:t>
      </w:r>
    </w:p>
    <w:p>
      <w:pPr>
        <w:pStyle w:val="22"/>
      </w:pPr>
      <w:r>
        <w:t>绩效指标：巡视巡察实现重点领域全覆盖；巡视反馈问题整改完成率达95%以上。</w:t>
      </w:r>
    </w:p>
    <w:p>
      <w:pPr>
        <w:pStyle w:val="22"/>
      </w:pPr>
      <w:r>
        <w:rPr>
          <w:rFonts w:hint="eastAsia"/>
          <w:lang w:eastAsia="zh-CN"/>
        </w:rPr>
        <w:t>4.</w:t>
      </w:r>
      <w:r>
        <w:t>发挥廉政教育培训中心作用，全力服务保障纪检监察任务</w:t>
      </w:r>
    </w:p>
    <w:p>
      <w:pPr>
        <w:pStyle w:val="22"/>
      </w:pPr>
      <w:r>
        <w:t>绩效目标：完善培训中心后勤设施设备，提高物业服务质量，充分满足办案场所、医疗服务、安全保卫和后勤保障等任务需要。</w:t>
      </w:r>
    </w:p>
    <w:p>
      <w:pPr>
        <w:pStyle w:val="22"/>
      </w:pPr>
      <w:r>
        <w:t>绩效指标：物业服务及设施设备政府采购率达100%；水电暖等设备全天候正常运转率达100%；设备保障及时率达100%；网络故障反应时间不超过1小时；办案人员满意度不低于95%。</w:t>
      </w:r>
    </w:p>
    <w:p>
      <w:pPr>
        <w:pStyle w:val="22"/>
      </w:pPr>
      <w:r>
        <w:rPr>
          <w:rFonts w:hint="eastAsia"/>
          <w:lang w:eastAsia="zh-CN"/>
        </w:rPr>
        <w:t>5.</w:t>
      </w:r>
      <w:r>
        <w:t>建设政治过硬、本领高强的纪检监察干部队伍</w:t>
      </w:r>
    </w:p>
    <w:p>
      <w:pPr>
        <w:pStyle w:val="22"/>
      </w:pPr>
      <w:r>
        <w:t>绩效目标：加大教育培训力度，抓好基层建设，加强作风和纪律建设，严格执行监督执纪工作规则，把执纪执法权力关进制度笼子，确保依纪依法、安全文明办案。对执纪违纪、执法违法者“零容忍”，坚决防止“灯下黑”。自觉接受党内监督和其他各方面监督，打造忠诚干净担当的纪检监察铁军。</w:t>
      </w:r>
    </w:p>
    <w:p>
      <w:pPr>
        <w:pStyle w:val="22"/>
      </w:pPr>
      <w:r>
        <w:t>绩效指标：按计划培训人数不低于100人次；全年组织培训不少于5场；培训合格率不低于95%；受培训人员满意度不低于95%。</w:t>
      </w:r>
    </w:p>
    <w:p>
      <w:pPr>
        <w:spacing w:line="500" w:lineRule="exact"/>
        <w:ind w:firstLine="560"/>
      </w:pPr>
      <w:r>
        <w:rPr>
          <w:rFonts w:eastAsia="方正仿宋_GBK"/>
          <w:sz w:val="28"/>
        </w:rPr>
        <w:t>（三）工作保障措施</w:t>
      </w:r>
    </w:p>
    <w:p>
      <w:pPr>
        <w:pStyle w:val="23"/>
      </w:pPr>
      <w:r>
        <w:t>坚持以习近平新时代中国特色社会主义思想为统领，按照《中共衡水市委财经委关于全面实施预算绩效管理的实施意见》精神，切实采取有效的措施，加强预算绩效管理。</w:t>
      </w:r>
    </w:p>
    <w:p>
      <w:pPr>
        <w:pStyle w:val="23"/>
      </w:pPr>
      <w:r>
        <w:rPr>
          <w:rFonts w:hint="eastAsia"/>
          <w:lang w:eastAsia="zh-CN"/>
        </w:rPr>
        <w:t>1.</w:t>
      </w:r>
      <w: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pPr>
        <w:pStyle w:val="23"/>
      </w:pPr>
      <w:r>
        <w:rPr>
          <w:rFonts w:hint="eastAsia"/>
          <w:lang w:eastAsia="zh-CN"/>
        </w:rPr>
        <w:t>2.</w:t>
      </w:r>
      <w:r>
        <w:t>规范财务资产管理。在完善财务管理制度的基础上，严格审批程序。搞好资产清查，加强固定资产登记、使用和报废处置管理，做到支出合理，物尽其用。</w:t>
      </w:r>
    </w:p>
    <w:p>
      <w:pPr>
        <w:pStyle w:val="23"/>
      </w:pPr>
      <w:r>
        <w:rPr>
          <w:rFonts w:hint="eastAsia"/>
          <w:lang w:eastAsia="zh-CN"/>
        </w:rPr>
        <w:t>3.</w:t>
      </w:r>
      <w:r>
        <w:t>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23"/>
      </w:pPr>
      <w:r>
        <w:rPr>
          <w:rFonts w:hint="eastAsia"/>
          <w:lang w:eastAsia="zh-CN"/>
        </w:rPr>
        <w:t>4.</w:t>
      </w:r>
      <w:r>
        <w:t>加强宣传培训。强化预算绩效意识，进行预算绩效宣传，促进预算绩效管理水平进一步提升。加强调查研究，提出优化资金配置、提高资金使用效益的意见建议。</w:t>
      </w:r>
    </w:p>
    <w:p>
      <w:pPr>
        <w:ind w:firstLine="640"/>
        <w:rPr>
          <w:rFonts w:ascii="方正楷体_GBK" w:hAnsi="方正楷体_GBK" w:eastAsia="方正楷体_GBK" w:cs="方正楷体_GBK"/>
          <w:b/>
          <w:sz w:val="32"/>
        </w:rPr>
      </w:pPr>
      <w:r>
        <w:rPr>
          <w:rFonts w:ascii="方正楷体_GBK" w:hAnsi="方正楷体_GBK" w:eastAsia="方正楷体_GBK" w:cs="方正楷体_GBK"/>
          <w:b/>
          <w:sz w:val="32"/>
        </w:rPr>
        <w:t>第二部分  预算项目绩效目标</w:t>
      </w:r>
    </w:p>
    <w:p>
      <w:pPr>
        <w:pStyle w:val="24"/>
        <w:ind w:firstLine="560"/>
      </w:pPr>
      <w:r>
        <w:rPr>
          <w:rFonts w:ascii="方正仿宋_GBK" w:hAnsi="方正仿宋_GBK" w:eastAsia="方正仿宋_GBK" w:cs="方正仿宋_GBK"/>
          <w:b/>
          <w:sz w:val="28"/>
        </w:rPr>
        <w:t>1、党风廉政建设工作经费绩效目标表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1.积极发挥职能作用，加强党风廉政建设。</w:t>
            </w:r>
          </w:p>
          <w:p>
            <w:pPr>
              <w:pStyle w:val="26"/>
            </w:pPr>
            <w:r>
              <w:t>2.营造风清气正、干事创业的工作氛围。</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宣传品数量</w:t>
            </w:r>
          </w:p>
        </w:tc>
        <w:tc>
          <w:tcPr>
            <w:tcW w:w="2835" w:type="dxa"/>
            <w:vAlign w:val="center"/>
          </w:tcPr>
          <w:p>
            <w:pPr>
              <w:pStyle w:val="26"/>
            </w:pPr>
            <w:r>
              <w:t>宣传品数量</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宣传目标完成率</w:t>
            </w:r>
          </w:p>
        </w:tc>
        <w:tc>
          <w:tcPr>
            <w:tcW w:w="2835" w:type="dxa"/>
            <w:vAlign w:val="center"/>
          </w:tcPr>
          <w:p>
            <w:pPr>
              <w:pStyle w:val="26"/>
            </w:pPr>
            <w:r>
              <w:t>宣传目标完成率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宣传、活动完成时间</w:t>
            </w:r>
          </w:p>
        </w:tc>
        <w:tc>
          <w:tcPr>
            <w:tcW w:w="2835" w:type="dxa"/>
            <w:vAlign w:val="center"/>
          </w:tcPr>
          <w:p>
            <w:pPr>
              <w:pStyle w:val="26"/>
            </w:pPr>
            <w:r>
              <w:t>宣传、活动完成时间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项目预算控制数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资金的使用效率</w:t>
            </w:r>
          </w:p>
        </w:tc>
        <w:tc>
          <w:tcPr>
            <w:tcW w:w="2835" w:type="dxa"/>
            <w:vAlign w:val="center"/>
          </w:tcPr>
          <w:p>
            <w:pPr>
              <w:pStyle w:val="26"/>
            </w:pPr>
            <w:r>
              <w:t>资金的使用效率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对区域生态改善</w:t>
            </w:r>
          </w:p>
        </w:tc>
        <w:tc>
          <w:tcPr>
            <w:tcW w:w="2835" w:type="dxa"/>
            <w:vAlign w:val="center"/>
          </w:tcPr>
          <w:p>
            <w:pPr>
              <w:pStyle w:val="26"/>
            </w:pPr>
            <w:r>
              <w:t>对区域生态改善</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维护社会稳定</w:t>
            </w:r>
          </w:p>
        </w:tc>
        <w:tc>
          <w:tcPr>
            <w:tcW w:w="2835" w:type="dxa"/>
            <w:vAlign w:val="center"/>
          </w:tcPr>
          <w:p>
            <w:pPr>
              <w:pStyle w:val="26"/>
            </w:pPr>
            <w:r>
              <w:t>维护社会稳定</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2、党风廉政建设工作经费（非税）绩效目标表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1.积极发挥职能作用，加强党风廉政建设。</w:t>
            </w:r>
          </w:p>
          <w:p>
            <w:pPr>
              <w:pStyle w:val="26"/>
            </w:pPr>
            <w:r>
              <w:t>2.营造风清气正、干事创业的工作氛围。</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宣传品数量</w:t>
            </w:r>
          </w:p>
        </w:tc>
        <w:tc>
          <w:tcPr>
            <w:tcW w:w="2835" w:type="dxa"/>
            <w:vAlign w:val="center"/>
          </w:tcPr>
          <w:p>
            <w:pPr>
              <w:pStyle w:val="26"/>
            </w:pPr>
            <w:r>
              <w:t>宣传品数量</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宣传目标完成率</w:t>
            </w:r>
          </w:p>
        </w:tc>
        <w:tc>
          <w:tcPr>
            <w:tcW w:w="2835" w:type="dxa"/>
            <w:vAlign w:val="center"/>
          </w:tcPr>
          <w:p>
            <w:pPr>
              <w:pStyle w:val="26"/>
            </w:pPr>
            <w:r>
              <w:t>宣传目标完成率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宣传、活动完成时间</w:t>
            </w:r>
          </w:p>
        </w:tc>
        <w:tc>
          <w:tcPr>
            <w:tcW w:w="2835" w:type="dxa"/>
            <w:vAlign w:val="center"/>
          </w:tcPr>
          <w:p>
            <w:pPr>
              <w:pStyle w:val="26"/>
            </w:pPr>
            <w:r>
              <w:t>宣传、活动完成时间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项目预算控制数</w:t>
            </w:r>
          </w:p>
        </w:tc>
        <w:tc>
          <w:tcPr>
            <w:tcW w:w="2835" w:type="dxa"/>
            <w:vAlign w:val="center"/>
          </w:tcPr>
          <w:p>
            <w:pPr>
              <w:pStyle w:val="26"/>
            </w:pPr>
            <w:r>
              <w:t>项目预算控制数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资金的使用效率</w:t>
            </w:r>
          </w:p>
        </w:tc>
        <w:tc>
          <w:tcPr>
            <w:tcW w:w="2835" w:type="dxa"/>
            <w:vAlign w:val="center"/>
          </w:tcPr>
          <w:p>
            <w:pPr>
              <w:pStyle w:val="26"/>
            </w:pPr>
            <w:r>
              <w:t>资金的使用效率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对区域生态改善</w:t>
            </w:r>
          </w:p>
        </w:tc>
        <w:tc>
          <w:tcPr>
            <w:tcW w:w="2835" w:type="dxa"/>
            <w:vAlign w:val="center"/>
          </w:tcPr>
          <w:p>
            <w:pPr>
              <w:pStyle w:val="26"/>
            </w:pPr>
            <w:r>
              <w:t>对区域生态改善</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维护社会稳定</w:t>
            </w:r>
          </w:p>
        </w:tc>
        <w:tc>
          <w:tcPr>
            <w:tcW w:w="2835" w:type="dxa"/>
            <w:vAlign w:val="center"/>
          </w:tcPr>
          <w:p>
            <w:pPr>
              <w:pStyle w:val="26"/>
            </w:pPr>
            <w:r>
              <w:t>维护社会稳定</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3、纪检监察干部培训费绩效目标表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1.适应新形势新任务新要求，加强纪检监察干部学习培训和实战练兵，推进纪检监察干部队伍素质和能力建设。</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培训次数</w:t>
            </w:r>
          </w:p>
        </w:tc>
        <w:tc>
          <w:tcPr>
            <w:tcW w:w="2835" w:type="dxa"/>
            <w:vAlign w:val="center"/>
          </w:tcPr>
          <w:p>
            <w:pPr>
              <w:pStyle w:val="26"/>
            </w:pPr>
            <w:r>
              <w:t>培训次数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培训计划按期完成率</w:t>
            </w:r>
          </w:p>
        </w:tc>
        <w:tc>
          <w:tcPr>
            <w:tcW w:w="2835" w:type="dxa"/>
            <w:vAlign w:val="center"/>
          </w:tcPr>
          <w:p>
            <w:pPr>
              <w:pStyle w:val="26"/>
            </w:pPr>
            <w:r>
              <w:t>培训计划按期完成率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培训按期完成率</w:t>
            </w:r>
          </w:p>
        </w:tc>
        <w:tc>
          <w:tcPr>
            <w:tcW w:w="2835" w:type="dxa"/>
            <w:vAlign w:val="center"/>
          </w:tcPr>
          <w:p>
            <w:pPr>
              <w:pStyle w:val="26"/>
            </w:pPr>
            <w:r>
              <w:t>培训按期完成率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参加培训人均成本</w:t>
            </w:r>
          </w:p>
        </w:tc>
        <w:tc>
          <w:tcPr>
            <w:tcW w:w="2835" w:type="dxa"/>
            <w:vAlign w:val="center"/>
          </w:tcPr>
          <w:p>
            <w:pPr>
              <w:pStyle w:val="26"/>
            </w:pPr>
            <w:r>
              <w:t>参加培训人均成本</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对社会经济发展的影响</w:t>
            </w:r>
          </w:p>
        </w:tc>
        <w:tc>
          <w:tcPr>
            <w:tcW w:w="2835" w:type="dxa"/>
            <w:vAlign w:val="center"/>
          </w:tcPr>
          <w:p>
            <w:pPr>
              <w:pStyle w:val="26"/>
            </w:pPr>
            <w:r>
              <w:t>对社会经济发展的影响</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不断推进专业技术人才队伍建设</w:t>
            </w:r>
          </w:p>
        </w:tc>
        <w:tc>
          <w:tcPr>
            <w:tcW w:w="2835" w:type="dxa"/>
            <w:vAlign w:val="center"/>
          </w:tcPr>
          <w:p>
            <w:pPr>
              <w:pStyle w:val="26"/>
            </w:pPr>
            <w:r>
              <w:t>不断推进专业技术人才队伍建设</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提升人员素质</w:t>
            </w:r>
          </w:p>
        </w:tc>
        <w:tc>
          <w:tcPr>
            <w:tcW w:w="2835" w:type="dxa"/>
            <w:vAlign w:val="center"/>
          </w:tcPr>
          <w:p>
            <w:pPr>
              <w:pStyle w:val="26"/>
            </w:pPr>
            <w:r>
              <w:t>提升人员素质</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参训人员满意率</w:t>
            </w:r>
          </w:p>
        </w:tc>
        <w:tc>
          <w:tcPr>
            <w:tcW w:w="2835" w:type="dxa"/>
            <w:vAlign w:val="center"/>
          </w:tcPr>
          <w:p>
            <w:pPr>
              <w:pStyle w:val="26"/>
            </w:pPr>
            <w:r>
              <w:t>参训人员满意率</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4、纪检监察干部培训费（非税）绩效目标表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1.适应新形势新任务新要求，加强纪检监察干部学习培训和实战练兵，推进纪检监察干部队伍素质和能力建设。</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培训次数</w:t>
            </w:r>
          </w:p>
        </w:tc>
        <w:tc>
          <w:tcPr>
            <w:tcW w:w="2835" w:type="dxa"/>
            <w:vAlign w:val="center"/>
          </w:tcPr>
          <w:p>
            <w:pPr>
              <w:pStyle w:val="26"/>
            </w:pPr>
            <w:r>
              <w:t>培训次数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培训计划按期完成率</w:t>
            </w:r>
          </w:p>
        </w:tc>
        <w:tc>
          <w:tcPr>
            <w:tcW w:w="2835" w:type="dxa"/>
            <w:vAlign w:val="center"/>
          </w:tcPr>
          <w:p>
            <w:pPr>
              <w:pStyle w:val="26"/>
            </w:pPr>
            <w:r>
              <w:t>培训计划按期完成率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培训按期完成率</w:t>
            </w:r>
          </w:p>
        </w:tc>
        <w:tc>
          <w:tcPr>
            <w:tcW w:w="2835" w:type="dxa"/>
            <w:vAlign w:val="center"/>
          </w:tcPr>
          <w:p>
            <w:pPr>
              <w:pStyle w:val="26"/>
            </w:pPr>
            <w:r>
              <w:t>培训按期完成率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参加培训人均成本</w:t>
            </w:r>
          </w:p>
        </w:tc>
        <w:tc>
          <w:tcPr>
            <w:tcW w:w="2835" w:type="dxa"/>
            <w:vAlign w:val="center"/>
          </w:tcPr>
          <w:p>
            <w:pPr>
              <w:pStyle w:val="26"/>
            </w:pPr>
            <w:r>
              <w:t>参加培训人均成本</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对社会经济发展的影响</w:t>
            </w:r>
          </w:p>
        </w:tc>
        <w:tc>
          <w:tcPr>
            <w:tcW w:w="2835" w:type="dxa"/>
            <w:vAlign w:val="center"/>
          </w:tcPr>
          <w:p>
            <w:pPr>
              <w:pStyle w:val="26"/>
            </w:pPr>
            <w:r>
              <w:t>对社会经济发展的影响</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不断推进专业技术人才队伍建设</w:t>
            </w:r>
          </w:p>
        </w:tc>
        <w:tc>
          <w:tcPr>
            <w:tcW w:w="2835" w:type="dxa"/>
            <w:vAlign w:val="center"/>
          </w:tcPr>
          <w:p>
            <w:pPr>
              <w:pStyle w:val="26"/>
            </w:pPr>
            <w:r>
              <w:t>不断推进专业技术人才队伍建设</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提升人员素质</w:t>
            </w:r>
          </w:p>
        </w:tc>
        <w:tc>
          <w:tcPr>
            <w:tcW w:w="2835" w:type="dxa"/>
            <w:vAlign w:val="center"/>
          </w:tcPr>
          <w:p>
            <w:pPr>
              <w:pStyle w:val="26"/>
            </w:pPr>
            <w:r>
              <w:t>提升人员素质</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参训人员满意率</w:t>
            </w:r>
          </w:p>
        </w:tc>
        <w:tc>
          <w:tcPr>
            <w:tcW w:w="2835" w:type="dxa"/>
            <w:vAlign w:val="center"/>
          </w:tcPr>
          <w:p>
            <w:pPr>
              <w:pStyle w:val="26"/>
            </w:pPr>
            <w:r>
              <w:t>参训人员满意率</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5、纪检综合事务管理工作经费绩效目标表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1.为纪律审查、纪检监察业务提高服务和保障。</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综合事务完成率</w:t>
            </w:r>
          </w:p>
        </w:tc>
        <w:tc>
          <w:tcPr>
            <w:tcW w:w="2835" w:type="dxa"/>
            <w:vAlign w:val="center"/>
          </w:tcPr>
          <w:p>
            <w:pPr>
              <w:pStyle w:val="26"/>
            </w:pPr>
            <w:r>
              <w:t>综合事务完成率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各项工作落实到位率</w:t>
            </w:r>
          </w:p>
        </w:tc>
        <w:tc>
          <w:tcPr>
            <w:tcW w:w="2835" w:type="dxa"/>
            <w:vAlign w:val="center"/>
          </w:tcPr>
          <w:p>
            <w:pPr>
              <w:pStyle w:val="26"/>
            </w:pPr>
            <w:r>
              <w:t>各项工作落实到位率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各项任务完成及时率（%）</w:t>
            </w:r>
          </w:p>
        </w:tc>
        <w:tc>
          <w:tcPr>
            <w:tcW w:w="2835" w:type="dxa"/>
            <w:vAlign w:val="center"/>
          </w:tcPr>
          <w:p>
            <w:pPr>
              <w:pStyle w:val="26"/>
            </w:pPr>
            <w:r>
              <w:t>各项任务完成及时率（%）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资金成本</w:t>
            </w:r>
          </w:p>
        </w:tc>
        <w:tc>
          <w:tcPr>
            <w:tcW w:w="2835" w:type="dxa"/>
            <w:vAlign w:val="center"/>
          </w:tcPr>
          <w:p>
            <w:pPr>
              <w:pStyle w:val="26"/>
            </w:pPr>
            <w:r>
              <w:t>资金成本</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资金使用效益</w:t>
            </w:r>
          </w:p>
        </w:tc>
        <w:tc>
          <w:tcPr>
            <w:tcW w:w="2835" w:type="dxa"/>
            <w:vAlign w:val="center"/>
          </w:tcPr>
          <w:p>
            <w:pPr>
              <w:pStyle w:val="26"/>
            </w:pPr>
            <w:r>
              <w:t>资金使用效益</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举报移送立案率(%)</w:t>
            </w:r>
          </w:p>
        </w:tc>
        <w:tc>
          <w:tcPr>
            <w:tcW w:w="2835" w:type="dxa"/>
            <w:vAlign w:val="center"/>
          </w:tcPr>
          <w:p>
            <w:pPr>
              <w:pStyle w:val="26"/>
            </w:pPr>
            <w:r>
              <w:t>举报移送立案率(%)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生态影响</w:t>
            </w:r>
          </w:p>
        </w:tc>
        <w:tc>
          <w:tcPr>
            <w:tcW w:w="2835" w:type="dxa"/>
            <w:vAlign w:val="center"/>
          </w:tcPr>
          <w:p>
            <w:pPr>
              <w:pStyle w:val="26"/>
            </w:pPr>
            <w:r>
              <w:t>生态影响</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可持续性服务</w:t>
            </w:r>
          </w:p>
        </w:tc>
        <w:tc>
          <w:tcPr>
            <w:tcW w:w="2835" w:type="dxa"/>
            <w:vAlign w:val="center"/>
          </w:tcPr>
          <w:p>
            <w:pPr>
              <w:pStyle w:val="26"/>
            </w:pPr>
            <w:r>
              <w:t>可持续性服务</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社会公众满意度</w:t>
            </w:r>
          </w:p>
        </w:tc>
        <w:tc>
          <w:tcPr>
            <w:tcW w:w="2835" w:type="dxa"/>
            <w:vAlign w:val="center"/>
          </w:tcPr>
          <w:p>
            <w:pPr>
              <w:pStyle w:val="26"/>
            </w:pPr>
            <w:r>
              <w:t>社会公众满意度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6、纪检综合事务管理工作经费（非税）绩效目标表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1.为纪律审查、纪检监察业务提高服务和保障。</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综合事务完成率</w:t>
            </w:r>
          </w:p>
        </w:tc>
        <w:tc>
          <w:tcPr>
            <w:tcW w:w="2835" w:type="dxa"/>
            <w:vAlign w:val="center"/>
          </w:tcPr>
          <w:p>
            <w:pPr>
              <w:pStyle w:val="26"/>
            </w:pPr>
            <w:r>
              <w:t>综合事务完成率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各项工作落实到位率</w:t>
            </w:r>
          </w:p>
        </w:tc>
        <w:tc>
          <w:tcPr>
            <w:tcW w:w="2835" w:type="dxa"/>
            <w:vAlign w:val="center"/>
          </w:tcPr>
          <w:p>
            <w:pPr>
              <w:pStyle w:val="26"/>
            </w:pPr>
            <w:r>
              <w:t>各项工作落实到位率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各项任务完成及时率（%）</w:t>
            </w:r>
          </w:p>
        </w:tc>
        <w:tc>
          <w:tcPr>
            <w:tcW w:w="2835" w:type="dxa"/>
            <w:vAlign w:val="center"/>
          </w:tcPr>
          <w:p>
            <w:pPr>
              <w:pStyle w:val="26"/>
            </w:pPr>
            <w:r>
              <w:t>各项任务完成及时率（%）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资金成本</w:t>
            </w:r>
          </w:p>
        </w:tc>
        <w:tc>
          <w:tcPr>
            <w:tcW w:w="2835" w:type="dxa"/>
            <w:vAlign w:val="center"/>
          </w:tcPr>
          <w:p>
            <w:pPr>
              <w:pStyle w:val="26"/>
            </w:pPr>
            <w:r>
              <w:t>资金成本</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资金使用效益</w:t>
            </w:r>
          </w:p>
        </w:tc>
        <w:tc>
          <w:tcPr>
            <w:tcW w:w="2835" w:type="dxa"/>
            <w:vAlign w:val="center"/>
          </w:tcPr>
          <w:p>
            <w:pPr>
              <w:pStyle w:val="26"/>
            </w:pPr>
            <w:r>
              <w:t>资金使用效益</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举报移送立案率(%)</w:t>
            </w:r>
          </w:p>
        </w:tc>
        <w:tc>
          <w:tcPr>
            <w:tcW w:w="2835" w:type="dxa"/>
            <w:vAlign w:val="center"/>
          </w:tcPr>
          <w:p>
            <w:pPr>
              <w:pStyle w:val="26"/>
            </w:pPr>
            <w:r>
              <w:t>举报移送立案率(%)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生态影响</w:t>
            </w:r>
          </w:p>
        </w:tc>
        <w:tc>
          <w:tcPr>
            <w:tcW w:w="2835" w:type="dxa"/>
            <w:vAlign w:val="center"/>
          </w:tcPr>
          <w:p>
            <w:pPr>
              <w:pStyle w:val="26"/>
            </w:pPr>
            <w:r>
              <w:t>生态影响</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可持续性服务</w:t>
            </w:r>
          </w:p>
        </w:tc>
        <w:tc>
          <w:tcPr>
            <w:tcW w:w="2835" w:type="dxa"/>
            <w:vAlign w:val="center"/>
          </w:tcPr>
          <w:p>
            <w:pPr>
              <w:pStyle w:val="26"/>
            </w:pPr>
            <w:r>
              <w:t>可持续性服务</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社会公众满意度</w:t>
            </w:r>
          </w:p>
        </w:tc>
        <w:tc>
          <w:tcPr>
            <w:tcW w:w="2835" w:type="dxa"/>
            <w:vAlign w:val="center"/>
          </w:tcPr>
          <w:p>
            <w:pPr>
              <w:pStyle w:val="26"/>
            </w:pPr>
            <w:r>
              <w:t>社会公众满意度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7、纪律审查经费绩效目标表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1.坚持全面从严治党，全面加强纪律建设，持之以恒正风肃纪</w:t>
            </w:r>
          </w:p>
          <w:p>
            <w:pPr>
              <w:pStyle w:val="26"/>
            </w:pPr>
            <w:r>
              <w:t>2.营造风清气正政治生态，推动全面从严治党工作取得新成效</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查处案件数</w:t>
            </w:r>
          </w:p>
        </w:tc>
        <w:tc>
          <w:tcPr>
            <w:tcW w:w="2835" w:type="dxa"/>
            <w:vAlign w:val="center"/>
          </w:tcPr>
          <w:p>
            <w:pPr>
              <w:pStyle w:val="26"/>
            </w:pPr>
            <w:r>
              <w:t>查处案件数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查出问题整改率</w:t>
            </w:r>
          </w:p>
        </w:tc>
        <w:tc>
          <w:tcPr>
            <w:tcW w:w="2835" w:type="dxa"/>
            <w:vAlign w:val="center"/>
          </w:tcPr>
          <w:p>
            <w:pPr>
              <w:pStyle w:val="26"/>
            </w:pPr>
            <w:r>
              <w:t>查出问题整改率</w:t>
            </w:r>
          </w:p>
        </w:tc>
        <w:tc>
          <w:tcPr>
            <w:tcW w:w="2551" w:type="dxa"/>
            <w:vAlign w:val="center"/>
          </w:tcPr>
          <w:p>
            <w:pPr>
              <w:pStyle w:val="26"/>
            </w:pPr>
            <w:r>
              <w:t>≥99%</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因涉密，无法提供</w:t>
            </w:r>
          </w:p>
        </w:tc>
        <w:tc>
          <w:tcPr>
            <w:tcW w:w="2835" w:type="dxa"/>
            <w:vAlign w:val="center"/>
          </w:tcPr>
          <w:p>
            <w:pPr>
              <w:pStyle w:val="26"/>
            </w:pPr>
            <w:r>
              <w:t>因涉密，无法提供</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惩治腐败</w:t>
            </w:r>
          </w:p>
        </w:tc>
        <w:tc>
          <w:tcPr>
            <w:tcW w:w="2835" w:type="dxa"/>
            <w:vAlign w:val="center"/>
          </w:tcPr>
          <w:p>
            <w:pPr>
              <w:pStyle w:val="26"/>
            </w:pPr>
            <w:r>
              <w:t>惩治腐败</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效果持续时间</w:t>
            </w:r>
          </w:p>
        </w:tc>
        <w:tc>
          <w:tcPr>
            <w:tcW w:w="2835" w:type="dxa"/>
            <w:vAlign w:val="center"/>
          </w:tcPr>
          <w:p>
            <w:pPr>
              <w:pStyle w:val="26"/>
            </w:pPr>
            <w:r>
              <w:t>效果持续时间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≥98%</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8、纪律审查经费（非税）绩效目标表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1.坚持全面从严治党，全面加强纪律建设，持之以恒正风肃纪</w:t>
            </w:r>
          </w:p>
          <w:p>
            <w:pPr>
              <w:pStyle w:val="26"/>
            </w:pPr>
            <w:r>
              <w:t>2.营造风清气正政治生态，推动全面从严治党工作取得新成效</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查处案件数</w:t>
            </w:r>
          </w:p>
        </w:tc>
        <w:tc>
          <w:tcPr>
            <w:tcW w:w="2835" w:type="dxa"/>
            <w:vAlign w:val="center"/>
          </w:tcPr>
          <w:p>
            <w:pPr>
              <w:pStyle w:val="26"/>
            </w:pPr>
            <w:r>
              <w:t>查处案件数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查出问题整改率</w:t>
            </w:r>
          </w:p>
        </w:tc>
        <w:tc>
          <w:tcPr>
            <w:tcW w:w="2835" w:type="dxa"/>
            <w:vAlign w:val="center"/>
          </w:tcPr>
          <w:p>
            <w:pPr>
              <w:pStyle w:val="26"/>
            </w:pPr>
            <w:r>
              <w:t>查出问题整改率</w:t>
            </w:r>
          </w:p>
        </w:tc>
        <w:tc>
          <w:tcPr>
            <w:tcW w:w="2551" w:type="dxa"/>
            <w:vAlign w:val="center"/>
          </w:tcPr>
          <w:p>
            <w:pPr>
              <w:pStyle w:val="26"/>
            </w:pPr>
            <w:r>
              <w:t>≥99%</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完成时限</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因涉密，无法提供</w:t>
            </w:r>
          </w:p>
        </w:tc>
        <w:tc>
          <w:tcPr>
            <w:tcW w:w="2835" w:type="dxa"/>
            <w:vAlign w:val="center"/>
          </w:tcPr>
          <w:p>
            <w:pPr>
              <w:pStyle w:val="26"/>
            </w:pPr>
            <w:r>
              <w:t>因涉密，无法提供</w:t>
            </w:r>
          </w:p>
        </w:tc>
        <w:tc>
          <w:tcPr>
            <w:tcW w:w="2551" w:type="dxa"/>
            <w:vAlign w:val="center"/>
          </w:tcPr>
          <w:p>
            <w:pPr>
              <w:pStyle w:val="26"/>
            </w:pPr>
            <w:r>
              <w:t>≥90%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惩治腐败</w:t>
            </w:r>
          </w:p>
        </w:tc>
        <w:tc>
          <w:tcPr>
            <w:tcW w:w="2835" w:type="dxa"/>
            <w:vAlign w:val="center"/>
          </w:tcPr>
          <w:p>
            <w:pPr>
              <w:pStyle w:val="26"/>
            </w:pPr>
            <w:r>
              <w:t>惩治腐败</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效果持续时间</w:t>
            </w:r>
          </w:p>
        </w:tc>
        <w:tc>
          <w:tcPr>
            <w:tcW w:w="2835" w:type="dxa"/>
            <w:vAlign w:val="center"/>
          </w:tcPr>
          <w:p>
            <w:pPr>
              <w:pStyle w:val="26"/>
            </w:pPr>
            <w:r>
              <w:t>效果持续时间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≥98%</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9、监督检查工作经费绩效目标表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1.为监督检查工作提高服务和保障</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监督覆盖率</w:t>
            </w:r>
          </w:p>
        </w:tc>
        <w:tc>
          <w:tcPr>
            <w:tcW w:w="2835" w:type="dxa"/>
            <w:vAlign w:val="center"/>
          </w:tcPr>
          <w:p>
            <w:pPr>
              <w:pStyle w:val="26"/>
            </w:pPr>
            <w:r>
              <w:t>监督覆盖率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业务检查工作完成率</w:t>
            </w:r>
          </w:p>
          <w:p>
            <w:pPr>
              <w:pStyle w:val="26"/>
            </w:pPr>
          </w:p>
          <w:p>
            <w:pPr>
              <w:pStyle w:val="26"/>
            </w:pPr>
          </w:p>
        </w:tc>
        <w:tc>
          <w:tcPr>
            <w:tcW w:w="2835" w:type="dxa"/>
            <w:vAlign w:val="center"/>
          </w:tcPr>
          <w:p>
            <w:pPr>
              <w:pStyle w:val="26"/>
            </w:pPr>
            <w:r>
              <w:t>业务检查工作完成率</w:t>
            </w:r>
          </w:p>
          <w:p>
            <w:pPr>
              <w:pStyle w:val="26"/>
            </w:pPr>
          </w:p>
          <w:p>
            <w:pPr>
              <w:pStyle w:val="26"/>
            </w:pP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各项任务完成及时率（%）</w:t>
            </w:r>
          </w:p>
        </w:tc>
        <w:tc>
          <w:tcPr>
            <w:tcW w:w="2835" w:type="dxa"/>
            <w:vAlign w:val="center"/>
          </w:tcPr>
          <w:p>
            <w:pPr>
              <w:pStyle w:val="26"/>
            </w:pPr>
            <w:r>
              <w:t>各项任务完成及时率（%）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调查结案税款入库率</w:t>
            </w:r>
          </w:p>
        </w:tc>
        <w:tc>
          <w:tcPr>
            <w:tcW w:w="2835" w:type="dxa"/>
            <w:vAlign w:val="center"/>
          </w:tcPr>
          <w:p>
            <w:pPr>
              <w:pStyle w:val="26"/>
            </w:pPr>
            <w:r>
              <w:t>调查结案税款入库率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监督检查结果应用</w:t>
            </w:r>
          </w:p>
          <w:p>
            <w:pPr>
              <w:pStyle w:val="26"/>
            </w:pPr>
          </w:p>
          <w:p>
            <w:pPr>
              <w:pStyle w:val="26"/>
            </w:pPr>
          </w:p>
        </w:tc>
        <w:tc>
          <w:tcPr>
            <w:tcW w:w="2835" w:type="dxa"/>
            <w:vAlign w:val="center"/>
          </w:tcPr>
          <w:p>
            <w:pPr>
              <w:pStyle w:val="26"/>
            </w:pPr>
            <w:r>
              <w:t>监督检查结果应用</w:t>
            </w:r>
          </w:p>
          <w:p>
            <w:pPr>
              <w:pStyle w:val="26"/>
            </w:pPr>
          </w:p>
          <w:p>
            <w:pPr>
              <w:pStyle w:val="26"/>
            </w:pP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10、监督检查工作经费（非税）绩效目标表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1.为监督检查工作提高服务和保障</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监督覆盖率</w:t>
            </w:r>
          </w:p>
        </w:tc>
        <w:tc>
          <w:tcPr>
            <w:tcW w:w="2835" w:type="dxa"/>
            <w:vAlign w:val="center"/>
          </w:tcPr>
          <w:p>
            <w:pPr>
              <w:pStyle w:val="26"/>
            </w:pPr>
            <w:r>
              <w:t>监督覆盖率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业务检查工作完成率</w:t>
            </w:r>
          </w:p>
          <w:p>
            <w:pPr>
              <w:pStyle w:val="26"/>
            </w:pPr>
          </w:p>
          <w:p>
            <w:pPr>
              <w:pStyle w:val="26"/>
            </w:pPr>
          </w:p>
        </w:tc>
        <w:tc>
          <w:tcPr>
            <w:tcW w:w="2835" w:type="dxa"/>
            <w:vAlign w:val="center"/>
          </w:tcPr>
          <w:p>
            <w:pPr>
              <w:pStyle w:val="26"/>
            </w:pPr>
            <w:r>
              <w:t>业务检查工作完成率</w:t>
            </w:r>
          </w:p>
          <w:p>
            <w:pPr>
              <w:pStyle w:val="26"/>
            </w:pPr>
          </w:p>
          <w:p>
            <w:pPr>
              <w:pStyle w:val="26"/>
            </w:pP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各项任务完成及时率（%）</w:t>
            </w:r>
          </w:p>
        </w:tc>
        <w:tc>
          <w:tcPr>
            <w:tcW w:w="2835" w:type="dxa"/>
            <w:vAlign w:val="center"/>
          </w:tcPr>
          <w:p>
            <w:pPr>
              <w:pStyle w:val="26"/>
            </w:pPr>
            <w:r>
              <w:t>各项任务完成及时率（%）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成本控制</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调查结案税款入库率</w:t>
            </w:r>
          </w:p>
        </w:tc>
        <w:tc>
          <w:tcPr>
            <w:tcW w:w="2835" w:type="dxa"/>
            <w:vAlign w:val="center"/>
          </w:tcPr>
          <w:p>
            <w:pPr>
              <w:pStyle w:val="26"/>
            </w:pPr>
            <w:r>
              <w:t>调查结案税款入库率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监督检查结果应用</w:t>
            </w:r>
          </w:p>
          <w:p>
            <w:pPr>
              <w:pStyle w:val="26"/>
            </w:pPr>
          </w:p>
          <w:p>
            <w:pPr>
              <w:pStyle w:val="26"/>
            </w:pPr>
          </w:p>
        </w:tc>
        <w:tc>
          <w:tcPr>
            <w:tcW w:w="2835" w:type="dxa"/>
            <w:vAlign w:val="center"/>
          </w:tcPr>
          <w:p>
            <w:pPr>
              <w:pStyle w:val="26"/>
            </w:pPr>
            <w:r>
              <w:t>监督检查结果应用</w:t>
            </w:r>
          </w:p>
          <w:p>
            <w:pPr>
              <w:pStyle w:val="26"/>
            </w:pPr>
          </w:p>
          <w:p>
            <w:pPr>
              <w:pStyle w:val="26"/>
            </w:pP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11、廉政教育经费绩效目标表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1.营造风清气正的政治生态，开创衡水人民幸福美好新生活，为建设经济强市、美丽衡水提供坚强政治保证。</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开展法制宣传次数</w:t>
            </w:r>
          </w:p>
        </w:tc>
        <w:tc>
          <w:tcPr>
            <w:tcW w:w="2835" w:type="dxa"/>
            <w:vAlign w:val="center"/>
          </w:tcPr>
          <w:p>
            <w:pPr>
              <w:pStyle w:val="26"/>
            </w:pPr>
            <w:r>
              <w:t>开展法制宣传次数</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宣传目标完成率</w:t>
            </w:r>
          </w:p>
        </w:tc>
        <w:tc>
          <w:tcPr>
            <w:tcW w:w="2835" w:type="dxa"/>
            <w:vAlign w:val="center"/>
          </w:tcPr>
          <w:p>
            <w:pPr>
              <w:pStyle w:val="26"/>
            </w:pPr>
            <w:r>
              <w:t>宣传目标完成率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宣传、活动完成时间</w:t>
            </w:r>
          </w:p>
        </w:tc>
        <w:tc>
          <w:tcPr>
            <w:tcW w:w="2835" w:type="dxa"/>
            <w:vAlign w:val="center"/>
          </w:tcPr>
          <w:p>
            <w:pPr>
              <w:pStyle w:val="26"/>
            </w:pPr>
            <w:r>
              <w:t>宣传、活动完成时间</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控制在预算成本内</w:t>
            </w:r>
          </w:p>
        </w:tc>
        <w:tc>
          <w:tcPr>
            <w:tcW w:w="2835" w:type="dxa"/>
            <w:vAlign w:val="center"/>
          </w:tcPr>
          <w:p>
            <w:pPr>
              <w:pStyle w:val="26"/>
            </w:pPr>
            <w:r>
              <w:t>控制在预算成本内</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促进区域经济社会发展情况</w:t>
            </w:r>
          </w:p>
        </w:tc>
        <w:tc>
          <w:tcPr>
            <w:tcW w:w="2835" w:type="dxa"/>
            <w:vAlign w:val="center"/>
          </w:tcPr>
          <w:p>
            <w:pPr>
              <w:pStyle w:val="26"/>
            </w:pPr>
            <w:r>
              <w:t>促进区域经济社会发展情况</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社会影响力</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项目持续发挥作用</w:t>
            </w:r>
          </w:p>
        </w:tc>
        <w:tc>
          <w:tcPr>
            <w:tcW w:w="2835" w:type="dxa"/>
            <w:vAlign w:val="center"/>
          </w:tcPr>
          <w:p>
            <w:pPr>
              <w:pStyle w:val="26"/>
            </w:pPr>
            <w:r>
              <w:t>项目持续发挥作用</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12、廉政教育经费（非税）绩效目标表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1.营造风清气正的政治生态，开创衡水人民幸福美好新生活，为建设经济强市、美丽衡水提供坚强政治保证。</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开展法制宣传次数</w:t>
            </w:r>
          </w:p>
        </w:tc>
        <w:tc>
          <w:tcPr>
            <w:tcW w:w="2835" w:type="dxa"/>
            <w:vAlign w:val="center"/>
          </w:tcPr>
          <w:p>
            <w:pPr>
              <w:pStyle w:val="26"/>
            </w:pPr>
            <w:r>
              <w:t>开展法制宣传次数</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宣传目标完成率</w:t>
            </w:r>
          </w:p>
        </w:tc>
        <w:tc>
          <w:tcPr>
            <w:tcW w:w="2835" w:type="dxa"/>
            <w:vAlign w:val="center"/>
          </w:tcPr>
          <w:p>
            <w:pPr>
              <w:pStyle w:val="26"/>
            </w:pPr>
            <w:r>
              <w:t>宣传目标完成率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宣传、活动完成时间</w:t>
            </w:r>
          </w:p>
        </w:tc>
        <w:tc>
          <w:tcPr>
            <w:tcW w:w="2835" w:type="dxa"/>
            <w:vAlign w:val="center"/>
          </w:tcPr>
          <w:p>
            <w:pPr>
              <w:pStyle w:val="26"/>
            </w:pPr>
            <w:r>
              <w:t>宣传、活动完成时间</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控制在预算成本内</w:t>
            </w:r>
          </w:p>
        </w:tc>
        <w:tc>
          <w:tcPr>
            <w:tcW w:w="2835" w:type="dxa"/>
            <w:vAlign w:val="center"/>
          </w:tcPr>
          <w:p>
            <w:pPr>
              <w:pStyle w:val="26"/>
            </w:pPr>
            <w:r>
              <w:t>控制在预算成本内</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促进区域经济社会发展情况</w:t>
            </w:r>
          </w:p>
        </w:tc>
        <w:tc>
          <w:tcPr>
            <w:tcW w:w="2835" w:type="dxa"/>
            <w:vAlign w:val="center"/>
          </w:tcPr>
          <w:p>
            <w:pPr>
              <w:pStyle w:val="26"/>
            </w:pPr>
            <w:r>
              <w:t>促进区域经济社会发展情况</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社会影响力</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项目持续发挥作用</w:t>
            </w:r>
          </w:p>
        </w:tc>
        <w:tc>
          <w:tcPr>
            <w:tcW w:w="2835" w:type="dxa"/>
            <w:vAlign w:val="center"/>
          </w:tcPr>
          <w:p>
            <w:pPr>
              <w:pStyle w:val="26"/>
            </w:pPr>
            <w:r>
              <w:t>项目持续发挥作用</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13、信息网络建设工资经费绩效目标表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1.提高纪委监委内外网及各类网络应用安全保密效果，确保其稳定运行</w:t>
            </w:r>
          </w:p>
          <w:p>
            <w:pPr>
              <w:pStyle w:val="26"/>
            </w:pPr>
            <w:r>
              <w:t>2.监测官方网站安全，及时弥补漏洞，防止网络攻击</w:t>
            </w:r>
          </w:p>
          <w:p>
            <w:pPr>
              <w:pStyle w:val="26"/>
            </w:pPr>
            <w:r>
              <w:t>3.通过信息技术手段提高监督监察、审查调查工作效率</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门户网维护好评量</w:t>
            </w:r>
          </w:p>
        </w:tc>
        <w:tc>
          <w:tcPr>
            <w:tcW w:w="2835" w:type="dxa"/>
            <w:vAlign w:val="center"/>
          </w:tcPr>
          <w:p>
            <w:pPr>
              <w:pStyle w:val="26"/>
            </w:pPr>
            <w:r>
              <w:t>门户网维护好评量</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信息系统等级保护续评（级）</w:t>
            </w:r>
          </w:p>
        </w:tc>
        <w:tc>
          <w:tcPr>
            <w:tcW w:w="2835" w:type="dxa"/>
            <w:vAlign w:val="center"/>
          </w:tcPr>
          <w:p>
            <w:pPr>
              <w:pStyle w:val="26"/>
            </w:pPr>
            <w:r>
              <w:t>信息系统等级保护续评（级）</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项目（工程）完成及时率</w:t>
            </w:r>
          </w:p>
        </w:tc>
        <w:tc>
          <w:tcPr>
            <w:tcW w:w="2835" w:type="dxa"/>
            <w:vAlign w:val="center"/>
          </w:tcPr>
          <w:p>
            <w:pPr>
              <w:pStyle w:val="26"/>
            </w:pPr>
            <w:r>
              <w:t>项目（工程）完成及时率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项目实际支出是否控制在预算内</w:t>
            </w:r>
          </w:p>
        </w:tc>
        <w:tc>
          <w:tcPr>
            <w:tcW w:w="2835" w:type="dxa"/>
            <w:vAlign w:val="center"/>
          </w:tcPr>
          <w:p>
            <w:pPr>
              <w:pStyle w:val="26"/>
            </w:pPr>
            <w:r>
              <w:t>项目实际支出是否控制在预算内</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提高工作效率</w:t>
            </w:r>
          </w:p>
        </w:tc>
        <w:tc>
          <w:tcPr>
            <w:tcW w:w="2835" w:type="dxa"/>
            <w:vAlign w:val="center"/>
          </w:tcPr>
          <w:p>
            <w:pPr>
              <w:pStyle w:val="26"/>
            </w:pPr>
            <w:r>
              <w:t>提高工作效率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网络安全事件发生率</w:t>
            </w:r>
          </w:p>
        </w:tc>
        <w:tc>
          <w:tcPr>
            <w:tcW w:w="2835" w:type="dxa"/>
            <w:vAlign w:val="center"/>
          </w:tcPr>
          <w:p>
            <w:pPr>
              <w:pStyle w:val="26"/>
            </w:pPr>
            <w:r>
              <w:t>网络安全事件发生率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网络安全稳定运行</w:t>
            </w:r>
          </w:p>
        </w:tc>
        <w:tc>
          <w:tcPr>
            <w:tcW w:w="2835" w:type="dxa"/>
            <w:vAlign w:val="center"/>
          </w:tcPr>
          <w:p>
            <w:pPr>
              <w:pStyle w:val="26"/>
            </w:pPr>
            <w:r>
              <w:t>网络安全稳定运行</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14、信息网络建设工作经费（非税）绩效目标表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1.提高纪委监委内外网及各类网络应用安全保密效果，确保其稳定运行</w:t>
            </w:r>
          </w:p>
          <w:p>
            <w:pPr>
              <w:pStyle w:val="26"/>
            </w:pPr>
            <w:r>
              <w:t>2.监测官方网站安全，及时弥补漏洞，防止网络攻击</w:t>
            </w:r>
          </w:p>
          <w:p>
            <w:pPr>
              <w:pStyle w:val="26"/>
            </w:pPr>
            <w:r>
              <w:t>3.通过信息技术手段提高监督监察、审查调查工作效率</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门户网维护好评量</w:t>
            </w:r>
          </w:p>
        </w:tc>
        <w:tc>
          <w:tcPr>
            <w:tcW w:w="2835" w:type="dxa"/>
            <w:vAlign w:val="center"/>
          </w:tcPr>
          <w:p>
            <w:pPr>
              <w:pStyle w:val="26"/>
            </w:pPr>
            <w:r>
              <w:t>门户网维护好评量</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信息系统等级保护续评（级）</w:t>
            </w:r>
          </w:p>
        </w:tc>
        <w:tc>
          <w:tcPr>
            <w:tcW w:w="2835" w:type="dxa"/>
            <w:vAlign w:val="center"/>
          </w:tcPr>
          <w:p>
            <w:pPr>
              <w:pStyle w:val="26"/>
            </w:pPr>
            <w:r>
              <w:t>信息系统等级保护续评（级）</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项目（工程）完成及时率</w:t>
            </w:r>
          </w:p>
        </w:tc>
        <w:tc>
          <w:tcPr>
            <w:tcW w:w="2835" w:type="dxa"/>
            <w:vAlign w:val="center"/>
          </w:tcPr>
          <w:p>
            <w:pPr>
              <w:pStyle w:val="26"/>
            </w:pPr>
            <w:r>
              <w:t>项目（工程）完成及时率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项目实际支出是否控制在预算内</w:t>
            </w:r>
          </w:p>
        </w:tc>
        <w:tc>
          <w:tcPr>
            <w:tcW w:w="2835" w:type="dxa"/>
            <w:vAlign w:val="center"/>
          </w:tcPr>
          <w:p>
            <w:pPr>
              <w:pStyle w:val="26"/>
            </w:pPr>
            <w:r>
              <w:t>项目实际支出是否控制在预算内</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提高工作效率</w:t>
            </w:r>
          </w:p>
        </w:tc>
        <w:tc>
          <w:tcPr>
            <w:tcW w:w="2835" w:type="dxa"/>
            <w:vAlign w:val="center"/>
          </w:tcPr>
          <w:p>
            <w:pPr>
              <w:pStyle w:val="26"/>
            </w:pPr>
            <w:r>
              <w:t>提高工作效率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网络安全事件发生率</w:t>
            </w:r>
          </w:p>
        </w:tc>
        <w:tc>
          <w:tcPr>
            <w:tcW w:w="2835" w:type="dxa"/>
            <w:vAlign w:val="center"/>
          </w:tcPr>
          <w:p>
            <w:pPr>
              <w:pStyle w:val="26"/>
            </w:pPr>
            <w:r>
              <w:t>网络安全事件发生率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网络安全稳定运行</w:t>
            </w:r>
          </w:p>
        </w:tc>
        <w:tc>
          <w:tcPr>
            <w:tcW w:w="2835" w:type="dxa"/>
            <w:vAlign w:val="center"/>
          </w:tcPr>
          <w:p>
            <w:pPr>
              <w:pStyle w:val="26"/>
            </w:pPr>
            <w:r>
              <w:t>网络安全稳定运行</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15、巡视巡察工作经费绩效目标表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1.营造风清气正的政治生态，为建设经济强市、美丽衡水提供坚强政治保证。</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日常巡查次数</w:t>
            </w:r>
          </w:p>
        </w:tc>
        <w:tc>
          <w:tcPr>
            <w:tcW w:w="2835" w:type="dxa"/>
            <w:vAlign w:val="center"/>
          </w:tcPr>
          <w:p>
            <w:pPr>
              <w:pStyle w:val="26"/>
            </w:pPr>
            <w:r>
              <w:t>日常巡查次数</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覆盖率</w:t>
            </w:r>
          </w:p>
        </w:tc>
        <w:tc>
          <w:tcPr>
            <w:tcW w:w="2835" w:type="dxa"/>
            <w:vAlign w:val="center"/>
          </w:tcPr>
          <w:p>
            <w:pPr>
              <w:pStyle w:val="26"/>
            </w:pPr>
            <w:r>
              <w:t>覆盖率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案件、资料上报及时率</w:t>
            </w:r>
          </w:p>
        </w:tc>
        <w:tc>
          <w:tcPr>
            <w:tcW w:w="2835" w:type="dxa"/>
            <w:vAlign w:val="center"/>
          </w:tcPr>
          <w:p>
            <w:pPr>
              <w:pStyle w:val="26"/>
            </w:pPr>
            <w:r>
              <w:t>案件、资料上报及时率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成本控制率(%)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相关案件涉及金额</w:t>
            </w:r>
          </w:p>
        </w:tc>
        <w:tc>
          <w:tcPr>
            <w:tcW w:w="2835" w:type="dxa"/>
            <w:vAlign w:val="center"/>
          </w:tcPr>
          <w:p>
            <w:pPr>
              <w:pStyle w:val="26"/>
            </w:pPr>
            <w:r>
              <w:t>相关案件涉及金额</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维护社会稳定</w:t>
            </w:r>
          </w:p>
        </w:tc>
        <w:tc>
          <w:tcPr>
            <w:tcW w:w="2835" w:type="dxa"/>
            <w:vAlign w:val="center"/>
          </w:tcPr>
          <w:p>
            <w:pPr>
              <w:pStyle w:val="26"/>
            </w:pPr>
            <w:r>
              <w:t>维护社会稳定</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社会公众满意度</w:t>
            </w:r>
          </w:p>
        </w:tc>
        <w:tc>
          <w:tcPr>
            <w:tcW w:w="2835" w:type="dxa"/>
            <w:vAlign w:val="center"/>
          </w:tcPr>
          <w:p>
            <w:pPr>
              <w:pStyle w:val="26"/>
            </w:pPr>
            <w:r>
              <w:t>社会公众满意度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16、巡视巡察工作经费（非税）绩效目标表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1.营造风清气正的政治生态，为建设经济强市、美丽衡水提供坚强政治保证。</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日常巡查次数</w:t>
            </w:r>
          </w:p>
        </w:tc>
        <w:tc>
          <w:tcPr>
            <w:tcW w:w="2835" w:type="dxa"/>
            <w:vAlign w:val="center"/>
          </w:tcPr>
          <w:p>
            <w:pPr>
              <w:pStyle w:val="26"/>
            </w:pPr>
            <w:r>
              <w:t>日常巡查次数</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覆盖率</w:t>
            </w:r>
          </w:p>
        </w:tc>
        <w:tc>
          <w:tcPr>
            <w:tcW w:w="2835" w:type="dxa"/>
            <w:vAlign w:val="center"/>
          </w:tcPr>
          <w:p>
            <w:pPr>
              <w:pStyle w:val="26"/>
            </w:pPr>
            <w:r>
              <w:t>覆盖率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案件、资料上报及时率</w:t>
            </w:r>
          </w:p>
        </w:tc>
        <w:tc>
          <w:tcPr>
            <w:tcW w:w="2835" w:type="dxa"/>
            <w:vAlign w:val="center"/>
          </w:tcPr>
          <w:p>
            <w:pPr>
              <w:pStyle w:val="26"/>
            </w:pPr>
            <w:r>
              <w:t>案件、资料上报及时率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成本控制率(%)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相关案件涉及金额</w:t>
            </w:r>
          </w:p>
        </w:tc>
        <w:tc>
          <w:tcPr>
            <w:tcW w:w="2835" w:type="dxa"/>
            <w:vAlign w:val="center"/>
          </w:tcPr>
          <w:p>
            <w:pPr>
              <w:pStyle w:val="26"/>
            </w:pPr>
            <w:r>
              <w:t>相关案件涉及金额</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覆盖范围扩大效果</w:t>
            </w:r>
          </w:p>
        </w:tc>
        <w:tc>
          <w:tcPr>
            <w:tcW w:w="2835" w:type="dxa"/>
            <w:vAlign w:val="center"/>
          </w:tcPr>
          <w:p>
            <w:pPr>
              <w:pStyle w:val="26"/>
            </w:pPr>
            <w:r>
              <w:t>覆盖范围扩大效果</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维护社会稳定</w:t>
            </w:r>
          </w:p>
        </w:tc>
        <w:tc>
          <w:tcPr>
            <w:tcW w:w="2835" w:type="dxa"/>
            <w:vAlign w:val="center"/>
          </w:tcPr>
          <w:p>
            <w:pPr>
              <w:pStyle w:val="26"/>
            </w:pPr>
            <w:r>
              <w:t>维护社会稳定</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社会公众满意度</w:t>
            </w:r>
          </w:p>
        </w:tc>
        <w:tc>
          <w:tcPr>
            <w:tcW w:w="2835" w:type="dxa"/>
            <w:vAlign w:val="center"/>
          </w:tcPr>
          <w:p>
            <w:pPr>
              <w:pStyle w:val="26"/>
            </w:pPr>
            <w:r>
              <w:t>社会公众满意度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17、追赃追逃工作经费绩效目标表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1.积极落实追逃追赃工作</w:t>
            </w:r>
          </w:p>
          <w:p>
            <w:pPr>
              <w:pStyle w:val="26"/>
            </w:pPr>
            <w:r>
              <w:t>2.完成追逃办交办问题</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办理案件数</w:t>
            </w:r>
          </w:p>
        </w:tc>
        <w:tc>
          <w:tcPr>
            <w:tcW w:w="2835" w:type="dxa"/>
            <w:vAlign w:val="center"/>
          </w:tcPr>
          <w:p>
            <w:pPr>
              <w:pStyle w:val="26"/>
            </w:pPr>
            <w:r>
              <w:t>办理案件数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工作质量考核优良率（≧**%）</w:t>
            </w:r>
          </w:p>
        </w:tc>
        <w:tc>
          <w:tcPr>
            <w:tcW w:w="2835" w:type="dxa"/>
            <w:vAlign w:val="center"/>
          </w:tcPr>
          <w:p>
            <w:pPr>
              <w:pStyle w:val="26"/>
            </w:pPr>
            <w:r>
              <w:t>工作质量考核优良率（≧**%）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案件、资料上报及时率</w:t>
            </w:r>
          </w:p>
        </w:tc>
        <w:tc>
          <w:tcPr>
            <w:tcW w:w="2835" w:type="dxa"/>
            <w:vAlign w:val="center"/>
          </w:tcPr>
          <w:p>
            <w:pPr>
              <w:pStyle w:val="26"/>
            </w:pPr>
            <w:r>
              <w:t>案件、资料上报及时率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运行保障成本</w:t>
            </w:r>
          </w:p>
        </w:tc>
        <w:tc>
          <w:tcPr>
            <w:tcW w:w="2835" w:type="dxa"/>
            <w:vAlign w:val="center"/>
          </w:tcPr>
          <w:p>
            <w:pPr>
              <w:pStyle w:val="26"/>
            </w:pPr>
            <w:r>
              <w:t>运行保障成本</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社会影响力</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效果持续时间</w:t>
            </w:r>
          </w:p>
        </w:tc>
        <w:tc>
          <w:tcPr>
            <w:tcW w:w="2835" w:type="dxa"/>
            <w:vAlign w:val="center"/>
          </w:tcPr>
          <w:p>
            <w:pPr>
              <w:pStyle w:val="26"/>
            </w:pPr>
            <w:r>
              <w:t>效果持续时间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相关案件涉及金额</w:t>
            </w:r>
          </w:p>
        </w:tc>
        <w:tc>
          <w:tcPr>
            <w:tcW w:w="2835" w:type="dxa"/>
            <w:vAlign w:val="center"/>
          </w:tcPr>
          <w:p>
            <w:pPr>
              <w:pStyle w:val="26"/>
            </w:pPr>
            <w:r>
              <w:t>相关案件涉及金额</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群体满意度</w:t>
            </w:r>
          </w:p>
        </w:tc>
        <w:tc>
          <w:tcPr>
            <w:tcW w:w="2835" w:type="dxa"/>
            <w:vAlign w:val="center"/>
          </w:tcPr>
          <w:p>
            <w:pPr>
              <w:pStyle w:val="26"/>
            </w:pPr>
            <w:r>
              <w:t>群体满意度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18、追赃追逃工作经费（非税）绩效目标表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1.积极落实追逃追赃工作</w:t>
            </w:r>
          </w:p>
          <w:p>
            <w:pPr>
              <w:pStyle w:val="26"/>
            </w:pPr>
            <w:r>
              <w:t>2.完成追逃办交办问题</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办理案件数</w:t>
            </w:r>
          </w:p>
        </w:tc>
        <w:tc>
          <w:tcPr>
            <w:tcW w:w="2835" w:type="dxa"/>
            <w:vAlign w:val="center"/>
          </w:tcPr>
          <w:p>
            <w:pPr>
              <w:pStyle w:val="26"/>
            </w:pPr>
            <w:r>
              <w:t>办理案件数</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工作质量考核优良率（≧**%）</w:t>
            </w:r>
          </w:p>
        </w:tc>
        <w:tc>
          <w:tcPr>
            <w:tcW w:w="2835" w:type="dxa"/>
            <w:vAlign w:val="center"/>
          </w:tcPr>
          <w:p>
            <w:pPr>
              <w:pStyle w:val="26"/>
            </w:pPr>
            <w:r>
              <w:t>工作质量考核优良率（≧**%）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案件、资料上报及时率</w:t>
            </w:r>
          </w:p>
        </w:tc>
        <w:tc>
          <w:tcPr>
            <w:tcW w:w="2835" w:type="dxa"/>
            <w:vAlign w:val="center"/>
          </w:tcPr>
          <w:p>
            <w:pPr>
              <w:pStyle w:val="26"/>
            </w:pPr>
            <w:r>
              <w:t>案件、资料上报及时率</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运行保障成本</w:t>
            </w:r>
          </w:p>
        </w:tc>
        <w:tc>
          <w:tcPr>
            <w:tcW w:w="2835" w:type="dxa"/>
            <w:vAlign w:val="center"/>
          </w:tcPr>
          <w:p>
            <w:pPr>
              <w:pStyle w:val="26"/>
            </w:pPr>
            <w:r>
              <w:t>运行保障成本</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社会影响力</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效果持续时间</w:t>
            </w:r>
          </w:p>
        </w:tc>
        <w:tc>
          <w:tcPr>
            <w:tcW w:w="2835" w:type="dxa"/>
            <w:vAlign w:val="center"/>
          </w:tcPr>
          <w:p>
            <w:pPr>
              <w:pStyle w:val="26"/>
            </w:pPr>
            <w:r>
              <w:t>效果持续时间</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相关案件涉及金额</w:t>
            </w:r>
          </w:p>
        </w:tc>
        <w:tc>
          <w:tcPr>
            <w:tcW w:w="2835" w:type="dxa"/>
            <w:vAlign w:val="center"/>
          </w:tcPr>
          <w:p>
            <w:pPr>
              <w:pStyle w:val="26"/>
            </w:pPr>
            <w:r>
              <w:t>相关案件涉及金额</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群体满意度</w:t>
            </w:r>
          </w:p>
        </w:tc>
        <w:tc>
          <w:tcPr>
            <w:tcW w:w="2835" w:type="dxa"/>
            <w:vAlign w:val="center"/>
          </w:tcPr>
          <w:p>
            <w:pPr>
              <w:pStyle w:val="26"/>
            </w:pPr>
            <w:r>
              <w:t>群体满意度</w:t>
            </w:r>
          </w:p>
        </w:tc>
        <w:tc>
          <w:tcPr>
            <w:tcW w:w="2551" w:type="dxa"/>
            <w:vAlign w:val="center"/>
          </w:tcPr>
          <w:p>
            <w:pPr>
              <w:pStyle w:val="26"/>
            </w:pPr>
            <w:r>
              <w:t>≥95%</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19、资产购置费（非税）绩效目标表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1.保障机关办公正常运行。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购置数量与购置计划的比率</w:t>
            </w:r>
          </w:p>
        </w:tc>
        <w:tc>
          <w:tcPr>
            <w:tcW w:w="2835" w:type="dxa"/>
            <w:vAlign w:val="center"/>
          </w:tcPr>
          <w:p>
            <w:pPr>
              <w:pStyle w:val="26"/>
            </w:pPr>
            <w:r>
              <w:t>购置数量与购置计划的比率</w:t>
            </w:r>
          </w:p>
        </w:tc>
        <w:tc>
          <w:tcPr>
            <w:tcW w:w="2551" w:type="dxa"/>
            <w:vAlign w:val="center"/>
          </w:tcPr>
          <w:p>
            <w:pPr>
              <w:pStyle w:val="26"/>
            </w:pPr>
            <w:r>
              <w:t>≥98%</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采购质量合格率</w:t>
            </w:r>
          </w:p>
        </w:tc>
        <w:tc>
          <w:tcPr>
            <w:tcW w:w="2835" w:type="dxa"/>
            <w:vAlign w:val="center"/>
          </w:tcPr>
          <w:p>
            <w:pPr>
              <w:pStyle w:val="26"/>
            </w:pPr>
            <w:r>
              <w:t>采购质量合格率</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采购完成时间</w:t>
            </w:r>
          </w:p>
        </w:tc>
        <w:tc>
          <w:tcPr>
            <w:tcW w:w="2835" w:type="dxa"/>
            <w:vAlign w:val="center"/>
          </w:tcPr>
          <w:p>
            <w:pPr>
              <w:pStyle w:val="26"/>
            </w:pPr>
            <w:r>
              <w:t>采购完成时间</w:t>
            </w:r>
          </w:p>
        </w:tc>
        <w:tc>
          <w:tcPr>
            <w:tcW w:w="2551" w:type="dxa"/>
            <w:vAlign w:val="center"/>
          </w:tcPr>
          <w:p>
            <w:pPr>
              <w:pStyle w:val="26"/>
            </w:pPr>
            <w:r>
              <w:t>按计划完成</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资金成本</w:t>
            </w:r>
          </w:p>
        </w:tc>
        <w:tc>
          <w:tcPr>
            <w:tcW w:w="2835" w:type="dxa"/>
            <w:vAlign w:val="center"/>
          </w:tcPr>
          <w:p>
            <w:pPr>
              <w:pStyle w:val="26"/>
            </w:pPr>
            <w:r>
              <w:t>资金成本</w:t>
            </w:r>
          </w:p>
        </w:tc>
        <w:tc>
          <w:tcPr>
            <w:tcW w:w="2551" w:type="dxa"/>
            <w:vAlign w:val="center"/>
          </w:tcPr>
          <w:p>
            <w:pPr>
              <w:pStyle w:val="26"/>
            </w:pPr>
            <w:r>
              <w:t>节约成本</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设备使用率（%）</w:t>
            </w:r>
          </w:p>
        </w:tc>
        <w:tc>
          <w:tcPr>
            <w:tcW w:w="2835" w:type="dxa"/>
            <w:vAlign w:val="center"/>
          </w:tcPr>
          <w:p>
            <w:pPr>
              <w:pStyle w:val="26"/>
            </w:pPr>
            <w:r>
              <w:t>设备使用率（%）</w:t>
            </w:r>
          </w:p>
        </w:tc>
        <w:tc>
          <w:tcPr>
            <w:tcW w:w="2551" w:type="dxa"/>
            <w:vAlign w:val="center"/>
          </w:tcPr>
          <w:p>
            <w:pPr>
              <w:pStyle w:val="26"/>
            </w:pPr>
            <w:r>
              <w:t>≥96%</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满足机关各处室工作的正常开展</w:t>
            </w:r>
          </w:p>
        </w:tc>
        <w:tc>
          <w:tcPr>
            <w:tcW w:w="2835" w:type="dxa"/>
            <w:vAlign w:val="center"/>
          </w:tcPr>
          <w:p>
            <w:pPr>
              <w:pStyle w:val="26"/>
            </w:pPr>
            <w:r>
              <w:t>满足机关各处室工作的正常开展</w:t>
            </w:r>
          </w:p>
        </w:tc>
        <w:tc>
          <w:tcPr>
            <w:tcW w:w="2551" w:type="dxa"/>
            <w:vAlign w:val="center"/>
          </w:tcPr>
          <w:p>
            <w:pPr>
              <w:pStyle w:val="26"/>
            </w:pPr>
            <w:r>
              <w:t>保障工作正常开展</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设备购置类项目持续使用时间（年</w:t>
            </w:r>
          </w:p>
        </w:tc>
        <w:tc>
          <w:tcPr>
            <w:tcW w:w="2835" w:type="dxa"/>
            <w:vAlign w:val="center"/>
          </w:tcPr>
          <w:p>
            <w:pPr>
              <w:pStyle w:val="26"/>
            </w:pPr>
            <w:r>
              <w:t>设备购置类项目持续使用时间（年）</w:t>
            </w:r>
          </w:p>
        </w:tc>
        <w:tc>
          <w:tcPr>
            <w:tcW w:w="2551" w:type="dxa"/>
            <w:vAlign w:val="center"/>
          </w:tcPr>
          <w:p>
            <w:pPr>
              <w:pStyle w:val="26"/>
            </w:pPr>
            <w:r>
              <w:t>10年</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监督行为及效果满意度</w:t>
            </w:r>
          </w:p>
        </w:tc>
        <w:tc>
          <w:tcPr>
            <w:tcW w:w="2835" w:type="dxa"/>
            <w:vAlign w:val="center"/>
          </w:tcPr>
          <w:p>
            <w:pPr>
              <w:pStyle w:val="26"/>
            </w:pPr>
            <w:r>
              <w:t>监督行为及效果满意度</w:t>
            </w:r>
          </w:p>
        </w:tc>
        <w:tc>
          <w:tcPr>
            <w:tcW w:w="2551" w:type="dxa"/>
            <w:vAlign w:val="center"/>
          </w:tcPr>
          <w:p>
            <w:pPr>
              <w:pStyle w:val="26"/>
            </w:pPr>
            <w:r>
              <w:t>≥96%</w:t>
            </w:r>
          </w:p>
        </w:tc>
        <w:tc>
          <w:tcPr>
            <w:tcW w:w="2268" w:type="dxa"/>
            <w:vAlign w:val="center"/>
          </w:tcPr>
          <w:p>
            <w:pPr>
              <w:pStyle w:val="26"/>
            </w:pPr>
            <w:r>
              <w:t>工作计划</w:t>
            </w:r>
          </w:p>
        </w:tc>
      </w:tr>
    </w:tbl>
    <w:p>
      <w:pPr>
        <w:pStyle w:val="24"/>
      </w:pPr>
    </w:p>
    <w:p>
      <w:pPr>
        <w:pStyle w:val="24"/>
        <w:ind w:firstLine="560"/>
      </w:pPr>
      <w:r>
        <w:rPr>
          <w:rFonts w:ascii="方正仿宋_GBK" w:hAnsi="方正仿宋_GBK" w:eastAsia="方正仿宋_GBK" w:cs="方正仿宋_GBK"/>
          <w:b/>
          <w:sz w:val="28"/>
        </w:rPr>
        <w:t>20、市纪委监委办案基地办公用房租赁费绩效目标表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谈话保障率</w:t>
            </w:r>
          </w:p>
        </w:tc>
        <w:tc>
          <w:tcPr>
            <w:tcW w:w="2835" w:type="dxa"/>
            <w:vAlign w:val="center"/>
          </w:tcPr>
          <w:p>
            <w:pPr>
              <w:pStyle w:val="26"/>
            </w:pPr>
            <w:r>
              <w:t>反应谈话保障情况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21、市纪委监委办案基地购买服务绩效目标表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谈话保障率</w:t>
            </w:r>
          </w:p>
        </w:tc>
        <w:tc>
          <w:tcPr>
            <w:tcW w:w="2835" w:type="dxa"/>
            <w:vAlign w:val="center"/>
          </w:tcPr>
          <w:p>
            <w:pPr>
              <w:pStyle w:val="26"/>
            </w:pPr>
            <w:r>
              <w:t>反应谈话保障情况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22、市纪委监委办案基地后勤运行费绩效目标表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谈话保障率</w:t>
            </w:r>
          </w:p>
        </w:tc>
        <w:tc>
          <w:tcPr>
            <w:tcW w:w="2835" w:type="dxa"/>
            <w:vAlign w:val="center"/>
          </w:tcPr>
          <w:p>
            <w:pPr>
              <w:pStyle w:val="26"/>
            </w:pPr>
            <w:r>
              <w:t>反应谈话保障情况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23、市纪委监委办案基地谈话区升级改造项目绩效目标表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1.保障市纪委监委谈话工作顺利进行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谈话保障率</w:t>
            </w:r>
          </w:p>
        </w:tc>
        <w:tc>
          <w:tcPr>
            <w:tcW w:w="2835" w:type="dxa"/>
            <w:vAlign w:val="center"/>
          </w:tcPr>
          <w:p>
            <w:pPr>
              <w:pStyle w:val="26"/>
            </w:pPr>
            <w:r>
              <w:t>反应谈话保障情况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24、市纪委监委办案基地同步录音录像系统提升改造项目绩效目标表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1.保障市纪委监委谈话工作顺利进行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谈话保障率</w:t>
            </w:r>
          </w:p>
        </w:tc>
        <w:tc>
          <w:tcPr>
            <w:tcW w:w="2835" w:type="dxa"/>
            <w:vAlign w:val="center"/>
          </w:tcPr>
          <w:p>
            <w:pPr>
              <w:pStyle w:val="26"/>
            </w:pPr>
            <w:r>
              <w:t>反应谈话保障情况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25、市廉政教育基地办案经费补助绩效目标表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26、市廉政教育基地电费、燃气费绩效目标表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27、市廉政教育基地购买服务绩效目标表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28、市廉政教育基地后勤运行费绩效目标表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29、市廉政教育基地基础设施提升改造绩效目标表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1.保障纪委监委采取留置措施、谈话取证和警示教育顺利开展</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30、市廉政教育基地劳务费绩效目标表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31、市廉政教育基地同步录音录像系统提升改造项目（二期）绩效目标表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1.确保录音录像不丢失保证办案工作顺利开展</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32、市廉政教育基地同步录音录像系统提升改造项目（三期）绩效目标表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1.确保录音录像不丢失保证办案工作顺利开展</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33、市廉政教育基地同步录音录像系统提升改造项目（一期）绩效目标表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1.确保录音录像不丢失保证办案工作顺利开展。</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pPr>
    </w:p>
    <w:p>
      <w:pPr>
        <w:pStyle w:val="24"/>
        <w:ind w:firstLine="560"/>
      </w:pPr>
      <w:r>
        <w:rPr>
          <w:rFonts w:ascii="方正仿宋_GBK" w:hAnsi="方正仿宋_GBK" w:eastAsia="方正仿宋_GBK" w:cs="方正仿宋_GBK"/>
          <w:b/>
          <w:sz w:val="28"/>
        </w:rPr>
        <w:t>34、市廉政教育基地资产购置绩效目标表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1.保障市廉政教育基地各项工作有效运行</w:t>
            </w:r>
          </w:p>
        </w:tc>
      </w:tr>
    </w:tbl>
    <w:p>
      <w:pPr>
        <w:pStyle w:val="24"/>
        <w:spacing w:line="2" w:lineRule="exact"/>
        <w:jc w:val="cente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市廉政教育基地工作运转正常率</w:t>
            </w:r>
          </w:p>
        </w:tc>
        <w:tc>
          <w:tcPr>
            <w:tcW w:w="2835" w:type="dxa"/>
            <w:vAlign w:val="center"/>
          </w:tcPr>
          <w:p>
            <w:pPr>
              <w:pStyle w:val="26"/>
            </w:pPr>
            <w:r>
              <w:t>反应市廉政教育基地全年运转情况</w:t>
            </w:r>
          </w:p>
        </w:tc>
        <w:tc>
          <w:tcPr>
            <w:tcW w:w="2551" w:type="dxa"/>
            <w:vAlign w:val="center"/>
          </w:tcPr>
          <w:p>
            <w:pPr>
              <w:pStyle w:val="26"/>
            </w:pPr>
            <w:r>
              <w:t>≥95%</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采取留置及谈话保障率</w:t>
            </w:r>
          </w:p>
        </w:tc>
        <w:tc>
          <w:tcPr>
            <w:tcW w:w="2835" w:type="dxa"/>
            <w:vAlign w:val="center"/>
          </w:tcPr>
          <w:p>
            <w:pPr>
              <w:pStyle w:val="26"/>
            </w:pPr>
            <w:r>
              <w:t>反应留置及谈话保障情况</w:t>
            </w:r>
          </w:p>
        </w:tc>
        <w:tc>
          <w:tcPr>
            <w:tcW w:w="2551" w:type="dxa"/>
            <w:vAlign w:val="center"/>
          </w:tcPr>
          <w:p>
            <w:pPr>
              <w:pStyle w:val="26"/>
            </w:pPr>
            <w:r>
              <w:t>100%</w:t>
            </w:r>
          </w:p>
        </w:tc>
        <w:tc>
          <w:tcPr>
            <w:tcW w:w="2268" w:type="dxa"/>
            <w:vAlign w:val="center"/>
          </w:tcPr>
          <w:p>
            <w:pPr>
              <w:pStyle w:val="2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工作任务完成及时率</w:t>
            </w:r>
          </w:p>
        </w:tc>
        <w:tc>
          <w:tcPr>
            <w:tcW w:w="2835" w:type="dxa"/>
            <w:vAlign w:val="center"/>
          </w:tcPr>
          <w:p>
            <w:pPr>
              <w:pStyle w:val="26"/>
            </w:pPr>
            <w:r>
              <w:t>工作任务完成及时率</w:t>
            </w:r>
          </w:p>
        </w:tc>
        <w:tc>
          <w:tcPr>
            <w:tcW w:w="2551" w:type="dxa"/>
            <w:vAlign w:val="center"/>
          </w:tcPr>
          <w:p>
            <w:pPr>
              <w:pStyle w:val="26"/>
            </w:pPr>
            <w:r>
              <w:t>100%</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成本控制情况</w:t>
            </w:r>
          </w:p>
        </w:tc>
        <w:tc>
          <w:tcPr>
            <w:tcW w:w="2835" w:type="dxa"/>
            <w:vAlign w:val="center"/>
          </w:tcPr>
          <w:p>
            <w:pPr>
              <w:pStyle w:val="26"/>
            </w:pPr>
            <w:r>
              <w:t>各项支出不高于行业标准或其他地区平均标准</w:t>
            </w:r>
          </w:p>
        </w:tc>
        <w:tc>
          <w:tcPr>
            <w:tcW w:w="2551" w:type="dxa"/>
            <w:vAlign w:val="center"/>
          </w:tcPr>
          <w:p>
            <w:pPr>
              <w:pStyle w:val="26"/>
            </w:pPr>
            <w:r>
              <w:t>合理节约</w:t>
            </w:r>
          </w:p>
        </w:tc>
        <w:tc>
          <w:tcPr>
            <w:tcW w:w="2268" w:type="dxa"/>
            <w:vAlign w:val="center"/>
          </w:tcPr>
          <w:p>
            <w:pPr>
              <w:pStyle w:val="26"/>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全市廉政教育能力</w:t>
            </w:r>
          </w:p>
        </w:tc>
        <w:tc>
          <w:tcPr>
            <w:tcW w:w="2835" w:type="dxa"/>
            <w:vAlign w:val="center"/>
          </w:tcPr>
          <w:p>
            <w:pPr>
              <w:pStyle w:val="26"/>
            </w:pPr>
            <w:r>
              <w:t>廉政教育能力提高情况</w:t>
            </w:r>
          </w:p>
        </w:tc>
        <w:tc>
          <w:tcPr>
            <w:tcW w:w="2551" w:type="dxa"/>
            <w:vAlign w:val="center"/>
          </w:tcPr>
          <w:p>
            <w:pPr>
              <w:pStyle w:val="26"/>
            </w:pPr>
            <w:r>
              <w:t>明显提高</w:t>
            </w:r>
          </w:p>
        </w:tc>
        <w:tc>
          <w:tcPr>
            <w:tcW w:w="2268" w:type="dxa"/>
            <w:vAlign w:val="center"/>
          </w:tcPr>
          <w:p>
            <w:pPr>
              <w:pStyle w:val="2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基地后勤保障服务</w:t>
            </w:r>
          </w:p>
        </w:tc>
        <w:tc>
          <w:tcPr>
            <w:tcW w:w="2835" w:type="dxa"/>
            <w:vAlign w:val="center"/>
          </w:tcPr>
          <w:p>
            <w:pPr>
              <w:pStyle w:val="26"/>
            </w:pPr>
            <w:r>
              <w:t>基地后勤保障服务满意</w:t>
            </w:r>
          </w:p>
        </w:tc>
        <w:tc>
          <w:tcPr>
            <w:tcW w:w="2551" w:type="dxa"/>
            <w:vAlign w:val="center"/>
          </w:tcPr>
          <w:p>
            <w:pPr>
              <w:pStyle w:val="26"/>
            </w:pPr>
            <w:r>
              <w:t>≥90%</w:t>
            </w:r>
          </w:p>
        </w:tc>
        <w:tc>
          <w:tcPr>
            <w:tcW w:w="2268" w:type="dxa"/>
            <w:vAlign w:val="center"/>
          </w:tcPr>
          <w:p>
            <w:pPr>
              <w:pStyle w:val="26"/>
            </w:pPr>
            <w:r>
              <w:t>以往经验</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sz w:val="32"/>
        </w:rPr>
        <w:t>六、政府采购预算情况</w:t>
      </w:r>
      <w:bookmarkEnd w:id="14"/>
    </w:p>
    <w:p>
      <w:pPr>
        <w:spacing w:line="500" w:lineRule="exact"/>
        <w:ind w:firstLine="560"/>
      </w:pPr>
      <w:r>
        <w:rPr>
          <w:rFonts w:eastAsia="方正仿宋_GBK"/>
          <w:sz w:val="28"/>
        </w:rPr>
        <w:t>2022年，中共衡水市纪律检查委员会安排政府采购预算</w:t>
      </w:r>
      <w:r>
        <w:rPr>
          <w:rFonts w:hint="eastAsia" w:eastAsia="方正仿宋_GBK"/>
          <w:color w:val="auto"/>
          <w:sz w:val="28"/>
          <w:lang w:val="en-US" w:eastAsia="zh-CN"/>
        </w:rPr>
        <w:t>942.2</w:t>
      </w:r>
      <w:r>
        <w:rPr>
          <w:rFonts w:eastAsia="方正仿宋_GBK"/>
          <w:sz w:val="28"/>
        </w:rPr>
        <w:t>万元。具体内容见下表。</w:t>
      </w:r>
    </w:p>
    <w:p>
      <w:pPr>
        <w:jc w:val="center"/>
      </w:pPr>
      <w:r>
        <w:rPr>
          <w:rFonts w:ascii="方正小标宋_GBK" w:hAnsi="方正小标宋_GBK" w:eastAsia="方正小标宋_GBK" w:cs="方正小标宋_GBK"/>
          <w:sz w:val="36"/>
        </w:rPr>
        <w:t>部门政府采购预算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222中共衡水市纪律检查委员会</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color w:val="auto"/>
              </w:rP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rPr>
                <w:color w:val="auto"/>
              </w:rPr>
              <w:t>942.20</w:t>
            </w:r>
          </w:p>
        </w:tc>
        <w:tc>
          <w:tcPr>
            <w:tcW w:w="964" w:type="dxa"/>
            <w:vAlign w:val="center"/>
          </w:tcPr>
          <w:p>
            <w:pPr>
              <w:pStyle w:val="15"/>
            </w:pPr>
            <w:r>
              <w:rPr>
                <w:color w:val="auto"/>
              </w:rPr>
              <w:t>942.20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rPr>
                <w:color w:val="auto"/>
              </w:rPr>
              <w:t>411.60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color w:val="auto"/>
              </w:rPr>
              <w:t>衡水市廉政教育基地小计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rPr>
                <w:color w:val="auto"/>
              </w:rPr>
              <w:t>942.20</w:t>
            </w:r>
          </w:p>
        </w:tc>
        <w:tc>
          <w:tcPr>
            <w:tcW w:w="964" w:type="dxa"/>
            <w:vAlign w:val="center"/>
          </w:tcPr>
          <w:p>
            <w:pPr>
              <w:pStyle w:val="15"/>
            </w:pPr>
            <w:r>
              <w:rPr>
                <w:color w:val="auto"/>
              </w:rPr>
              <w:t>942.20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rPr>
                <w:color w:val="auto"/>
              </w:rPr>
              <w:t>411.60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color w:val="auto"/>
              </w:rPr>
              <w:t>市纪委监委办案基地办公用房租赁费</w:t>
            </w:r>
          </w:p>
        </w:tc>
        <w:tc>
          <w:tcPr>
            <w:tcW w:w="964" w:type="dxa"/>
            <w:vAlign w:val="center"/>
          </w:tcPr>
          <w:p>
            <w:pPr>
              <w:pStyle w:val="11"/>
            </w:pPr>
            <w:r>
              <w:rPr>
                <w:color w:val="auto"/>
              </w:rPr>
              <w:t>75.60</w:t>
            </w:r>
          </w:p>
        </w:tc>
        <w:tc>
          <w:tcPr>
            <w:tcW w:w="1134" w:type="dxa"/>
            <w:vAlign w:val="center"/>
          </w:tcPr>
          <w:p>
            <w:pPr>
              <w:pStyle w:val="12"/>
            </w:pPr>
            <w:r>
              <w:rPr>
                <w:color w:val="auto"/>
              </w:rPr>
              <w:t>房屋租赁服务</w:t>
            </w:r>
          </w:p>
        </w:tc>
        <w:tc>
          <w:tcPr>
            <w:tcW w:w="1134" w:type="dxa"/>
            <w:vAlign w:val="center"/>
          </w:tcPr>
          <w:p>
            <w:pPr>
              <w:pStyle w:val="12"/>
            </w:pPr>
            <w:r>
              <w:rPr>
                <w:color w:val="auto"/>
              </w:rPr>
              <w:t>C1202</w:t>
            </w:r>
          </w:p>
        </w:tc>
        <w:tc>
          <w:tcPr>
            <w:tcW w:w="709" w:type="dxa"/>
            <w:vAlign w:val="center"/>
          </w:tcPr>
          <w:p>
            <w:pPr>
              <w:pStyle w:val="13"/>
            </w:pPr>
            <w:r>
              <w:rPr>
                <w:color w:val="auto"/>
              </w:rPr>
              <w:t>1</w:t>
            </w:r>
          </w:p>
        </w:tc>
        <w:tc>
          <w:tcPr>
            <w:tcW w:w="850" w:type="dxa"/>
            <w:vAlign w:val="center"/>
          </w:tcPr>
          <w:p>
            <w:pPr>
              <w:pStyle w:val="11"/>
            </w:pPr>
            <w:r>
              <w:rPr>
                <w:color w:val="auto"/>
              </w:rPr>
              <w:t>1</w:t>
            </w:r>
          </w:p>
        </w:tc>
        <w:tc>
          <w:tcPr>
            <w:tcW w:w="850" w:type="dxa"/>
            <w:vAlign w:val="center"/>
          </w:tcPr>
          <w:p>
            <w:pPr>
              <w:pStyle w:val="11"/>
            </w:pPr>
            <w:r>
              <w:rPr>
                <w:color w:val="auto"/>
              </w:rPr>
              <w:t>75.60</w:t>
            </w:r>
          </w:p>
        </w:tc>
        <w:tc>
          <w:tcPr>
            <w:tcW w:w="964" w:type="dxa"/>
            <w:vAlign w:val="center"/>
          </w:tcPr>
          <w:p>
            <w:pPr>
              <w:pStyle w:val="11"/>
            </w:pPr>
            <w:r>
              <w:rPr>
                <w:color w:val="auto"/>
              </w:rPr>
              <w:t>75.60</w:t>
            </w:r>
          </w:p>
        </w:tc>
        <w:tc>
          <w:tcPr>
            <w:tcW w:w="964" w:type="dxa"/>
            <w:vAlign w:val="center"/>
          </w:tcPr>
          <w:p>
            <w:pPr>
              <w:pStyle w:val="11"/>
            </w:pPr>
            <w:r>
              <w:rPr>
                <w:color w:val="auto"/>
              </w:rPr>
              <w:t>75.60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color w:val="auto"/>
              </w:rPr>
              <w:t>市纪委监委办案基地</w:t>
            </w:r>
            <w:r>
              <w:rPr>
                <w:rFonts w:hint="eastAsia"/>
                <w:color w:val="auto"/>
                <w:lang w:val="en-US" w:eastAsia="zh-CN"/>
              </w:rPr>
              <w:t>购买服务</w:t>
            </w:r>
          </w:p>
        </w:tc>
        <w:tc>
          <w:tcPr>
            <w:tcW w:w="964" w:type="dxa"/>
            <w:vAlign w:val="center"/>
          </w:tcPr>
          <w:p>
            <w:pPr>
              <w:pStyle w:val="11"/>
            </w:pPr>
            <w:r>
              <w:rPr>
                <w:rFonts w:hint="eastAsia"/>
                <w:color w:val="auto"/>
                <w:lang w:val="en-US" w:eastAsia="zh-CN"/>
              </w:rPr>
              <w:t>139.04</w:t>
            </w:r>
          </w:p>
        </w:tc>
        <w:tc>
          <w:tcPr>
            <w:tcW w:w="1134" w:type="dxa"/>
            <w:vAlign w:val="center"/>
          </w:tcPr>
          <w:p>
            <w:pPr>
              <w:pStyle w:val="12"/>
            </w:pPr>
            <w:r>
              <w:rPr>
                <w:rFonts w:hint="eastAsia"/>
                <w:color w:val="auto"/>
                <w:lang w:val="en-US" w:eastAsia="zh-CN"/>
              </w:rPr>
              <w:t>其他服务</w:t>
            </w:r>
          </w:p>
        </w:tc>
        <w:tc>
          <w:tcPr>
            <w:tcW w:w="1134" w:type="dxa"/>
            <w:vAlign w:val="center"/>
          </w:tcPr>
          <w:p>
            <w:pPr>
              <w:pStyle w:val="12"/>
            </w:pPr>
            <w:r>
              <w:rPr>
                <w:rFonts w:hint="eastAsia"/>
                <w:color w:val="auto"/>
                <w:lang w:val="en-US" w:eastAsia="zh-CN"/>
              </w:rPr>
              <w:t>C99</w:t>
            </w:r>
          </w:p>
        </w:tc>
        <w:tc>
          <w:tcPr>
            <w:tcW w:w="709" w:type="dxa"/>
            <w:vAlign w:val="center"/>
          </w:tcPr>
          <w:p>
            <w:pPr>
              <w:pStyle w:val="13"/>
            </w:pPr>
            <w:r>
              <w:rPr>
                <w:rFonts w:hint="eastAsia"/>
                <w:color w:val="auto"/>
                <w:lang w:val="en-US" w:eastAsia="zh-CN"/>
              </w:rPr>
              <w:t>1</w:t>
            </w:r>
          </w:p>
        </w:tc>
        <w:tc>
          <w:tcPr>
            <w:tcW w:w="850" w:type="dxa"/>
            <w:vAlign w:val="center"/>
          </w:tcPr>
          <w:p>
            <w:pPr>
              <w:pStyle w:val="11"/>
            </w:pPr>
            <w:r>
              <w:rPr>
                <w:rFonts w:hint="eastAsia"/>
                <w:color w:val="auto"/>
                <w:lang w:val="en-US" w:eastAsia="zh-CN"/>
              </w:rPr>
              <w:t>1</w:t>
            </w:r>
          </w:p>
        </w:tc>
        <w:tc>
          <w:tcPr>
            <w:tcW w:w="850" w:type="dxa"/>
            <w:vAlign w:val="center"/>
          </w:tcPr>
          <w:p>
            <w:pPr>
              <w:pStyle w:val="11"/>
            </w:pPr>
            <w:r>
              <w:rPr>
                <w:rFonts w:hint="eastAsia"/>
                <w:color w:val="auto"/>
                <w:lang w:val="en-US" w:eastAsia="zh-CN"/>
              </w:rPr>
              <w:t>129.00</w:t>
            </w:r>
          </w:p>
        </w:tc>
        <w:tc>
          <w:tcPr>
            <w:tcW w:w="964" w:type="dxa"/>
            <w:vAlign w:val="center"/>
          </w:tcPr>
          <w:p>
            <w:pPr>
              <w:pStyle w:val="11"/>
            </w:pPr>
            <w:r>
              <w:rPr>
                <w:rFonts w:hint="eastAsia"/>
                <w:color w:val="auto"/>
                <w:lang w:val="en-US" w:eastAsia="zh-CN"/>
              </w:rPr>
              <w:t>129.00</w:t>
            </w:r>
          </w:p>
        </w:tc>
        <w:tc>
          <w:tcPr>
            <w:tcW w:w="964" w:type="dxa"/>
            <w:vAlign w:val="center"/>
          </w:tcPr>
          <w:p>
            <w:pPr>
              <w:pStyle w:val="11"/>
            </w:pPr>
            <w:r>
              <w:rPr>
                <w:rFonts w:hint="eastAsia"/>
                <w:color w:val="auto"/>
                <w:lang w:val="en-US" w:eastAsia="zh-CN"/>
              </w:rPr>
              <w:t>129.00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rPr>
                <w:rFonts w:hint="eastAsia"/>
                <w:color w:val="auto"/>
                <w:lang w:val="en-US" w:eastAsia="zh-CN"/>
              </w:rP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color w:val="auto"/>
              </w:rPr>
              <w:t>市纪委监委办案基地后勤运行费</w:t>
            </w:r>
          </w:p>
        </w:tc>
        <w:tc>
          <w:tcPr>
            <w:tcW w:w="964" w:type="dxa"/>
            <w:vAlign w:val="center"/>
          </w:tcPr>
          <w:p>
            <w:pPr>
              <w:pStyle w:val="11"/>
            </w:pPr>
            <w:r>
              <w:rPr>
                <w:color w:val="auto"/>
              </w:rPr>
              <w:t>165.36</w:t>
            </w:r>
          </w:p>
        </w:tc>
        <w:tc>
          <w:tcPr>
            <w:tcW w:w="1134" w:type="dxa"/>
            <w:vAlign w:val="center"/>
          </w:tcPr>
          <w:p>
            <w:pPr>
              <w:pStyle w:val="12"/>
            </w:pPr>
            <w:r>
              <w:rPr>
                <w:color w:val="auto"/>
              </w:rPr>
              <w:t>其他不另分类的物品</w:t>
            </w:r>
          </w:p>
        </w:tc>
        <w:tc>
          <w:tcPr>
            <w:tcW w:w="1134" w:type="dxa"/>
            <w:vAlign w:val="center"/>
          </w:tcPr>
          <w:p>
            <w:pPr>
              <w:pStyle w:val="12"/>
            </w:pPr>
            <w:r>
              <w:rPr>
                <w:color w:val="auto"/>
              </w:rPr>
              <w:t>A9999</w:t>
            </w:r>
          </w:p>
        </w:tc>
        <w:tc>
          <w:tcPr>
            <w:tcW w:w="709" w:type="dxa"/>
            <w:vAlign w:val="center"/>
          </w:tcPr>
          <w:p>
            <w:pPr>
              <w:pStyle w:val="13"/>
            </w:pPr>
            <w:r>
              <w:rPr>
                <w:color w:val="auto"/>
              </w:rPr>
              <w:t>1</w:t>
            </w:r>
          </w:p>
        </w:tc>
        <w:tc>
          <w:tcPr>
            <w:tcW w:w="850" w:type="dxa"/>
            <w:vAlign w:val="center"/>
          </w:tcPr>
          <w:p>
            <w:pPr>
              <w:pStyle w:val="11"/>
            </w:pPr>
            <w:r>
              <w:rPr>
                <w:color w:val="auto"/>
              </w:rPr>
              <w:t>1</w:t>
            </w:r>
          </w:p>
        </w:tc>
        <w:tc>
          <w:tcPr>
            <w:tcW w:w="850" w:type="dxa"/>
            <w:vAlign w:val="center"/>
          </w:tcPr>
          <w:p>
            <w:pPr>
              <w:pStyle w:val="11"/>
            </w:pPr>
            <w:r>
              <w:rPr>
                <w:color w:val="auto"/>
              </w:rPr>
              <w:t>87.60</w:t>
            </w:r>
          </w:p>
        </w:tc>
        <w:tc>
          <w:tcPr>
            <w:tcW w:w="964" w:type="dxa"/>
            <w:vAlign w:val="center"/>
          </w:tcPr>
          <w:p>
            <w:pPr>
              <w:pStyle w:val="11"/>
            </w:pPr>
            <w:r>
              <w:rPr>
                <w:color w:val="auto"/>
              </w:rPr>
              <w:t>87.60</w:t>
            </w:r>
          </w:p>
        </w:tc>
        <w:tc>
          <w:tcPr>
            <w:tcW w:w="964" w:type="dxa"/>
            <w:vAlign w:val="center"/>
          </w:tcPr>
          <w:p>
            <w:pPr>
              <w:pStyle w:val="11"/>
            </w:pPr>
            <w:r>
              <w:rPr>
                <w:color w:val="auto"/>
              </w:rPr>
              <w:t>87.60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rPr>
                <w:color w:val="auto"/>
              </w:rPr>
              <w:t>87.60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color w:val="auto"/>
              </w:rPr>
              <w:t>市廉政教育基地</w:t>
            </w:r>
            <w:r>
              <w:rPr>
                <w:rFonts w:hint="eastAsia"/>
                <w:color w:val="auto"/>
                <w:lang w:val="en-US" w:eastAsia="zh-CN"/>
              </w:rPr>
              <w:t>购买服务</w:t>
            </w:r>
          </w:p>
        </w:tc>
        <w:tc>
          <w:tcPr>
            <w:tcW w:w="964" w:type="dxa"/>
            <w:vAlign w:val="center"/>
          </w:tcPr>
          <w:p>
            <w:pPr>
              <w:pStyle w:val="11"/>
            </w:pPr>
            <w:r>
              <w:rPr>
                <w:rFonts w:hint="eastAsia"/>
                <w:color w:val="auto"/>
                <w:lang w:val="en-US" w:eastAsia="zh-CN"/>
              </w:rPr>
              <w:t>410.00</w:t>
            </w:r>
          </w:p>
        </w:tc>
        <w:tc>
          <w:tcPr>
            <w:tcW w:w="1134" w:type="dxa"/>
            <w:vAlign w:val="center"/>
          </w:tcPr>
          <w:p>
            <w:pPr>
              <w:pStyle w:val="12"/>
            </w:pPr>
            <w:r>
              <w:rPr>
                <w:rFonts w:hint="eastAsia"/>
                <w:color w:val="auto"/>
                <w:lang w:val="en-US" w:eastAsia="zh-CN"/>
              </w:rPr>
              <w:t>其他服务</w:t>
            </w:r>
          </w:p>
        </w:tc>
        <w:tc>
          <w:tcPr>
            <w:tcW w:w="1134" w:type="dxa"/>
            <w:vAlign w:val="center"/>
          </w:tcPr>
          <w:p>
            <w:pPr>
              <w:pStyle w:val="12"/>
            </w:pPr>
            <w:r>
              <w:rPr>
                <w:rFonts w:hint="eastAsia"/>
                <w:color w:val="auto"/>
                <w:lang w:val="en-US" w:eastAsia="zh-CN"/>
              </w:rPr>
              <w:t>C99</w:t>
            </w:r>
          </w:p>
        </w:tc>
        <w:tc>
          <w:tcPr>
            <w:tcW w:w="709" w:type="dxa"/>
            <w:vAlign w:val="center"/>
          </w:tcPr>
          <w:p>
            <w:pPr>
              <w:pStyle w:val="13"/>
            </w:pPr>
            <w:r>
              <w:rPr>
                <w:rFonts w:hint="eastAsia"/>
                <w:color w:val="auto"/>
                <w:lang w:val="en-US" w:eastAsia="zh-CN"/>
              </w:rPr>
              <w:t>1</w:t>
            </w:r>
          </w:p>
        </w:tc>
        <w:tc>
          <w:tcPr>
            <w:tcW w:w="850" w:type="dxa"/>
            <w:vAlign w:val="center"/>
          </w:tcPr>
          <w:p>
            <w:pPr>
              <w:pStyle w:val="11"/>
            </w:pPr>
            <w:r>
              <w:rPr>
                <w:rFonts w:hint="eastAsia"/>
                <w:color w:val="auto"/>
                <w:lang w:val="en-US" w:eastAsia="zh-CN"/>
              </w:rPr>
              <w:t>1</w:t>
            </w:r>
          </w:p>
        </w:tc>
        <w:tc>
          <w:tcPr>
            <w:tcW w:w="850" w:type="dxa"/>
            <w:vAlign w:val="center"/>
          </w:tcPr>
          <w:p>
            <w:pPr>
              <w:pStyle w:val="11"/>
            </w:pPr>
            <w:r>
              <w:rPr>
                <w:rFonts w:hint="eastAsia"/>
                <w:color w:val="auto"/>
                <w:lang w:val="en-US" w:eastAsia="zh-CN"/>
              </w:rPr>
              <w:t>380.00</w:t>
            </w:r>
          </w:p>
        </w:tc>
        <w:tc>
          <w:tcPr>
            <w:tcW w:w="964" w:type="dxa"/>
            <w:vAlign w:val="center"/>
          </w:tcPr>
          <w:p>
            <w:pPr>
              <w:pStyle w:val="11"/>
            </w:pPr>
            <w:r>
              <w:rPr>
                <w:rFonts w:hint="eastAsia"/>
                <w:color w:val="auto"/>
                <w:lang w:val="en-US" w:eastAsia="zh-CN"/>
              </w:rPr>
              <w:t>380.00</w:t>
            </w:r>
          </w:p>
        </w:tc>
        <w:tc>
          <w:tcPr>
            <w:tcW w:w="964" w:type="dxa"/>
            <w:vAlign w:val="center"/>
          </w:tcPr>
          <w:p>
            <w:pPr>
              <w:pStyle w:val="11"/>
            </w:pPr>
            <w:r>
              <w:rPr>
                <w:rFonts w:hint="eastAsia"/>
                <w:color w:val="auto"/>
                <w:lang w:val="en-US" w:eastAsia="zh-CN"/>
              </w:rPr>
              <w:t>380.00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rPr>
                <w:rFonts w:hint="eastAsia"/>
                <w:color w:val="auto"/>
                <w:lang w:val="en-US" w:eastAsia="zh-CN"/>
              </w:rP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color w:val="auto"/>
              </w:rPr>
              <w:t>市廉政教育基地后勤运行费</w:t>
            </w:r>
          </w:p>
        </w:tc>
        <w:tc>
          <w:tcPr>
            <w:tcW w:w="964" w:type="dxa"/>
            <w:vAlign w:val="center"/>
          </w:tcPr>
          <w:p>
            <w:pPr>
              <w:pStyle w:val="11"/>
            </w:pPr>
            <w:r>
              <w:rPr>
                <w:color w:val="auto"/>
              </w:rPr>
              <w:t>356.00</w:t>
            </w:r>
          </w:p>
        </w:tc>
        <w:tc>
          <w:tcPr>
            <w:tcW w:w="1134" w:type="dxa"/>
            <w:vAlign w:val="center"/>
          </w:tcPr>
          <w:p>
            <w:pPr>
              <w:pStyle w:val="12"/>
            </w:pPr>
            <w:r>
              <w:rPr>
                <w:color w:val="auto"/>
              </w:rPr>
              <w:t>其他不另分类的物品</w:t>
            </w:r>
          </w:p>
        </w:tc>
        <w:tc>
          <w:tcPr>
            <w:tcW w:w="1134" w:type="dxa"/>
            <w:vAlign w:val="center"/>
          </w:tcPr>
          <w:p>
            <w:pPr>
              <w:pStyle w:val="12"/>
            </w:pPr>
            <w:r>
              <w:rPr>
                <w:color w:val="auto"/>
              </w:rPr>
              <w:t>A9999</w:t>
            </w:r>
          </w:p>
        </w:tc>
        <w:tc>
          <w:tcPr>
            <w:tcW w:w="709" w:type="dxa"/>
            <w:vAlign w:val="center"/>
          </w:tcPr>
          <w:p>
            <w:pPr>
              <w:pStyle w:val="13"/>
            </w:pPr>
            <w:r>
              <w:rPr>
                <w:color w:val="auto"/>
              </w:rPr>
              <w:t>1</w:t>
            </w:r>
          </w:p>
        </w:tc>
        <w:tc>
          <w:tcPr>
            <w:tcW w:w="850" w:type="dxa"/>
            <w:vAlign w:val="center"/>
          </w:tcPr>
          <w:p>
            <w:pPr>
              <w:pStyle w:val="11"/>
            </w:pPr>
            <w:r>
              <w:rPr>
                <w:color w:val="auto"/>
              </w:rPr>
              <w:t>1</w:t>
            </w:r>
          </w:p>
        </w:tc>
        <w:tc>
          <w:tcPr>
            <w:tcW w:w="850" w:type="dxa"/>
            <w:vAlign w:val="center"/>
          </w:tcPr>
          <w:p>
            <w:pPr>
              <w:pStyle w:val="11"/>
            </w:pPr>
            <w:r>
              <w:rPr>
                <w:color w:val="auto"/>
              </w:rPr>
              <w:t>270.00</w:t>
            </w:r>
          </w:p>
        </w:tc>
        <w:tc>
          <w:tcPr>
            <w:tcW w:w="964" w:type="dxa"/>
            <w:vAlign w:val="center"/>
          </w:tcPr>
          <w:p>
            <w:pPr>
              <w:pStyle w:val="11"/>
            </w:pPr>
            <w:r>
              <w:rPr>
                <w:color w:val="auto"/>
              </w:rPr>
              <w:t>270.00</w:t>
            </w:r>
          </w:p>
        </w:tc>
        <w:tc>
          <w:tcPr>
            <w:tcW w:w="964" w:type="dxa"/>
            <w:vAlign w:val="center"/>
          </w:tcPr>
          <w:p>
            <w:pPr>
              <w:pStyle w:val="11"/>
            </w:pPr>
            <w:r>
              <w:rPr>
                <w:color w:val="auto"/>
              </w:rPr>
              <w:t>270.00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rPr>
                <w:color w:val="auto"/>
              </w:rPr>
              <w:t>81.00</w:t>
            </w:r>
          </w:p>
        </w:tc>
      </w:tr>
    </w:tbl>
    <w:p>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sz w:val="32"/>
        </w:rPr>
        <w:t>七、国有资产信息</w:t>
      </w:r>
      <w:bookmarkEnd w:id="15"/>
    </w:p>
    <w:p>
      <w:pPr>
        <w:ind w:firstLine="560" w:firstLineChars="200"/>
        <w:rPr>
          <w:rFonts w:eastAsia="方正仿宋_GBK"/>
          <w:sz w:val="28"/>
          <w:lang w:eastAsia="zh-CN"/>
        </w:rPr>
      </w:pPr>
      <w:r>
        <w:rPr>
          <w:rFonts w:eastAsia="方正仿宋_GBK"/>
          <w:sz w:val="28"/>
        </w:rPr>
        <w:t>中共衡水市纪律检查委员会（含所属单位）上年末固定资产金额为</w:t>
      </w:r>
      <w:r>
        <w:rPr>
          <w:rFonts w:hint="eastAsia" w:eastAsia="方正仿宋_GBK"/>
          <w:sz w:val="28"/>
          <w:lang w:eastAsia="zh-CN"/>
        </w:rPr>
        <w:t>3901.82</w:t>
      </w:r>
      <w:r>
        <w:rPr>
          <w:rFonts w:eastAsia="方正仿宋_GBK"/>
          <w:sz w:val="28"/>
        </w:rPr>
        <w:t>万元（详见下表）。本年度拟购置固定资产总额为</w:t>
      </w:r>
      <w:r>
        <w:rPr>
          <w:rFonts w:hint="eastAsia" w:eastAsia="方正仿宋_GBK"/>
          <w:sz w:val="28"/>
          <w:lang w:val="en-US" w:eastAsia="zh-CN"/>
        </w:rPr>
        <w:t>856.98</w:t>
      </w:r>
      <w:r>
        <w:rPr>
          <w:rFonts w:eastAsia="方正仿宋_GBK"/>
          <w:sz w:val="28"/>
        </w:rPr>
        <w:t>万元，已</w:t>
      </w:r>
      <w:r>
        <w:rPr>
          <w:rFonts w:hint="eastAsia" w:eastAsia="方正仿宋_GBK"/>
          <w:sz w:val="28"/>
          <w:lang w:eastAsia="zh-CN"/>
        </w:rPr>
        <w:t>按要求填报相关信息</w:t>
      </w:r>
      <w:r>
        <w:rPr>
          <w:rFonts w:eastAsia="方正仿宋_GBK"/>
          <w:sz w:val="28"/>
        </w:rPr>
        <w:t>。</w:t>
      </w:r>
    </w:p>
    <w:p>
      <w:pPr>
        <w:jc w:val="center"/>
      </w:pPr>
      <w:r>
        <w:rPr>
          <w:rFonts w:ascii="方正小标宋_GBK" w:hAnsi="方正小标宋_GBK" w:eastAsia="方正小标宋_GBK" w:cs="方正小标宋_GBK"/>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222中共衡水市纪律检查委员会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资产总额</w:t>
            </w:r>
          </w:p>
        </w:tc>
        <w:tc>
          <w:tcPr>
            <w:tcW w:w="2835" w:type="dxa"/>
            <w:vAlign w:val="center"/>
          </w:tcPr>
          <w:p>
            <w:pPr>
              <w:pStyle w:val="13"/>
              <w:rPr>
                <w:lang w:eastAsia="zh-CN"/>
              </w:rPr>
            </w:pPr>
            <w:r>
              <w:rPr>
                <w:rFonts w:hint="eastAsia"/>
                <w:lang w:eastAsia="zh-CN"/>
              </w:rPr>
              <w:t>4858</w:t>
            </w:r>
          </w:p>
        </w:tc>
        <w:tc>
          <w:tcPr>
            <w:tcW w:w="2835" w:type="dxa"/>
            <w:vAlign w:val="center"/>
          </w:tcPr>
          <w:p>
            <w:pPr>
              <w:pStyle w:val="11"/>
            </w:pPr>
            <w:r>
              <w:rPr>
                <w:rFonts w:hint="eastAsia"/>
                <w:lang w:eastAsia="zh-CN"/>
              </w:rPr>
              <w:t>3901.82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2.车辆（台、辆）</w:t>
            </w:r>
          </w:p>
        </w:tc>
        <w:tc>
          <w:tcPr>
            <w:tcW w:w="2835" w:type="dxa"/>
            <w:vAlign w:val="center"/>
          </w:tcPr>
          <w:p>
            <w:pPr>
              <w:pStyle w:val="13"/>
              <w:rPr>
                <w:lang w:eastAsia="zh-CN"/>
              </w:rPr>
            </w:pPr>
            <w:r>
              <w:rPr>
                <w:rFonts w:hint="eastAsia"/>
                <w:lang w:eastAsia="zh-CN"/>
              </w:rPr>
              <w:t>26</w:t>
            </w:r>
          </w:p>
        </w:tc>
        <w:tc>
          <w:tcPr>
            <w:tcW w:w="2835" w:type="dxa"/>
            <w:vAlign w:val="center"/>
          </w:tcPr>
          <w:p>
            <w:pPr>
              <w:jc w:val="right"/>
              <w:rPr>
                <w:rFonts w:hint="eastAsia" w:ascii="宋体" w:hAnsi="宋体" w:eastAsia="宋体" w:cs="宋体"/>
                <w:sz w:val="22"/>
                <w:szCs w:val="22"/>
                <w:lang w:eastAsia="zh-CN"/>
              </w:rPr>
            </w:pPr>
            <w:r>
              <w:rPr>
                <w:rFonts w:hint="eastAsia"/>
                <w:sz w:val="22"/>
                <w:szCs w:val="22"/>
              </w:rPr>
              <w:t>513.0</w:t>
            </w:r>
            <w:r>
              <w:rPr>
                <w:rFonts w:hint="eastAsia" w:eastAsia="宋体"/>
                <w:sz w:val="22"/>
                <w:szCs w:val="22"/>
                <w:lang w:val="en-US" w:eastAsia="zh-CN"/>
              </w:rPr>
              <w:t>3</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3.单价在20万元以上的设备</w:t>
            </w:r>
          </w:p>
        </w:tc>
        <w:tc>
          <w:tcPr>
            <w:tcW w:w="2835" w:type="dxa"/>
            <w:vAlign w:val="center"/>
          </w:tcPr>
          <w:p>
            <w:pPr>
              <w:pStyle w:val="13"/>
              <w:rPr>
                <w:lang w:eastAsia="zh-CN"/>
              </w:rPr>
            </w:pPr>
            <w:r>
              <w:rPr>
                <w:rFonts w:hint="eastAsia"/>
                <w:lang w:eastAsia="zh-CN"/>
              </w:rPr>
              <w:t>23</w:t>
            </w:r>
          </w:p>
        </w:tc>
        <w:tc>
          <w:tcPr>
            <w:tcW w:w="2835" w:type="dxa"/>
            <w:vAlign w:val="center"/>
          </w:tcPr>
          <w:p>
            <w:pPr>
              <w:jc w:val="right"/>
              <w:rPr>
                <w:rFonts w:hint="default" w:ascii="宋体" w:hAnsi="宋体" w:eastAsia="宋体" w:cs="宋体"/>
                <w:sz w:val="22"/>
                <w:szCs w:val="22"/>
                <w:lang w:val="en-US" w:eastAsia="zh-CN"/>
              </w:rPr>
            </w:pPr>
            <w:r>
              <w:rPr>
                <w:rFonts w:hint="eastAsia"/>
                <w:sz w:val="22"/>
                <w:szCs w:val="22"/>
              </w:rPr>
              <w:t>1309.</w:t>
            </w:r>
            <w:r>
              <w:rPr>
                <w:rFonts w:hint="eastAsia" w:eastAsia="宋体"/>
                <w:sz w:val="22"/>
                <w:szCs w:val="22"/>
                <w:lang w:val="en-US" w:eastAsia="zh-CN"/>
              </w:rPr>
              <w:t>80</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4.其他固定资产</w:t>
            </w:r>
          </w:p>
        </w:tc>
        <w:tc>
          <w:tcPr>
            <w:tcW w:w="2835" w:type="dxa"/>
            <w:vAlign w:val="center"/>
          </w:tcPr>
          <w:p>
            <w:pPr>
              <w:pStyle w:val="13"/>
              <w:rPr>
                <w:lang w:eastAsia="zh-CN"/>
              </w:rPr>
            </w:pPr>
            <w:r>
              <w:rPr>
                <w:rFonts w:hint="eastAsia"/>
                <w:lang w:eastAsia="zh-CN"/>
              </w:rPr>
              <w:t>4809</w:t>
            </w:r>
          </w:p>
        </w:tc>
        <w:tc>
          <w:tcPr>
            <w:tcW w:w="2835" w:type="dxa"/>
            <w:vAlign w:val="center"/>
          </w:tcPr>
          <w:p>
            <w:pPr>
              <w:pStyle w:val="11"/>
              <w:rPr>
                <w:rFonts w:hint="default" w:eastAsia="方正书宋_GBK"/>
                <w:lang w:val="en-US" w:eastAsia="zh-CN"/>
              </w:rPr>
            </w:pPr>
            <w:r>
              <w:t>207</w:t>
            </w:r>
            <w:r>
              <w:rPr>
                <w:rFonts w:hint="eastAsia"/>
                <w:lang w:val="en-US" w:eastAsia="zh-CN"/>
              </w:rPr>
              <w:t>9</w:t>
            </w:r>
            <w:r>
              <w:t>.</w:t>
            </w:r>
            <w:r>
              <w:rPr>
                <w:rFonts w:hint="eastAsia"/>
                <w:lang w:val="en-US" w:eastAsia="zh-CN"/>
              </w:rPr>
              <w:t>00</w:t>
            </w:r>
          </w:p>
        </w:tc>
      </w:tr>
    </w:tbl>
    <w:p>
      <w:pPr>
        <w:ind w:firstLine="420"/>
        <w:rPr>
          <w:lang w:eastAsia="zh-CN"/>
        </w:rPr>
      </w:pPr>
    </w:p>
    <w:p>
      <w:pPr>
        <w:rPr>
          <w:lang w:eastAsia="zh-CN"/>
        </w:rPr>
      </w:pPr>
    </w:p>
    <w:p>
      <w:pPr>
        <w:spacing w:before="10" w:after="10"/>
        <w:ind w:firstLine="640"/>
        <w:outlineLvl w:val="2"/>
      </w:pPr>
      <w:bookmarkStart w:id="16" w:name="_Toc_3_3_0000000017"/>
      <w:r>
        <w:rPr>
          <w:rFonts w:ascii="黑体" w:hAnsi="黑体" w:eastAsia="黑体" w:cs="黑体"/>
          <w:sz w:val="32"/>
        </w:rPr>
        <w:t>八、名词解释</w:t>
      </w:r>
      <w:bookmarkEnd w:id="16"/>
    </w:p>
    <w:p>
      <w:pPr>
        <w:spacing w:line="500" w:lineRule="exact"/>
        <w:ind w:firstLine="560"/>
      </w:pPr>
      <w:r>
        <w:rPr>
          <w:rFonts w:eastAsia="方正仿宋_GBK"/>
          <w:sz w:val="28"/>
        </w:rPr>
        <w:t>1、</w:t>
      </w:r>
      <w:r>
        <w:rPr>
          <w:rFonts w:eastAsia="方正仿宋_GBK"/>
          <w:b/>
          <w:sz w:val="28"/>
        </w:rPr>
        <w:t>一般公共预算拨款收入：</w:t>
      </w:r>
      <w:r>
        <w:rPr>
          <w:rFonts w:eastAsia="方正仿宋_GBK"/>
          <w:sz w:val="28"/>
        </w:rPr>
        <w:t>指</w:t>
      </w:r>
      <w:r>
        <w:rPr>
          <w:rFonts w:hint="eastAsia" w:eastAsia="方正仿宋_GBK"/>
          <w:sz w:val="28"/>
          <w:lang w:eastAsia="zh-CN"/>
        </w:rPr>
        <w:t>市</w:t>
      </w:r>
      <w:r>
        <w:rPr>
          <w:rFonts w:eastAsia="方正仿宋_GBK"/>
          <w:sz w:val="28"/>
        </w:rPr>
        <w:t>级财政当年拨付的资金。</w:t>
      </w:r>
    </w:p>
    <w:p>
      <w:pPr>
        <w:spacing w:line="500" w:lineRule="exact"/>
        <w:ind w:firstLine="560"/>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pPr>
      <w:r>
        <w:rPr>
          <w:rFonts w:eastAsia="方正仿宋_GBK"/>
          <w:sz w:val="28"/>
        </w:rPr>
        <w:t>3、</w:t>
      </w:r>
      <w:r>
        <w:rPr>
          <w:rFonts w:eastAsia="方正仿宋_GBK"/>
          <w:b/>
          <w:sz w:val="28"/>
        </w:rPr>
        <w:t>其他收入：</w:t>
      </w:r>
      <w:r>
        <w:rPr>
          <w:rFonts w:eastAsia="方正仿宋_GBK"/>
          <w:sz w:val="28"/>
        </w:rPr>
        <w:t>指除“一般公共预算拨款收入”、“事业收入”等以外的收入。主要是按规定动用的租房收入、存款利息收入等。</w:t>
      </w:r>
    </w:p>
    <w:p>
      <w:pPr>
        <w:spacing w:line="500" w:lineRule="exact"/>
        <w:ind w:firstLine="560"/>
      </w:pPr>
      <w:r>
        <w:rPr>
          <w:rFonts w:eastAsia="方正仿宋_GBK"/>
          <w:sz w:val="28"/>
        </w:rPr>
        <w:t>4、</w:t>
      </w:r>
      <w:r>
        <w:rPr>
          <w:rFonts w:eastAsia="方正仿宋_GBK"/>
          <w:b/>
          <w:sz w:val="28"/>
        </w:rPr>
        <w:t>基本支出：</w:t>
      </w:r>
      <w:r>
        <w:rPr>
          <w:rFonts w:eastAsia="方正仿宋_GBK"/>
          <w:sz w:val="28"/>
        </w:rPr>
        <w:t>指为保障机构正常运转、完成日常工作任务而发生的人员支出和公用支出。</w:t>
      </w:r>
    </w:p>
    <w:p>
      <w:pPr>
        <w:spacing w:line="500" w:lineRule="exact"/>
        <w:ind w:firstLine="560"/>
      </w:pPr>
      <w:r>
        <w:rPr>
          <w:rFonts w:eastAsia="方正仿宋_GBK"/>
          <w:sz w:val="28"/>
        </w:rPr>
        <w:t>5、</w:t>
      </w:r>
      <w:r>
        <w:rPr>
          <w:rFonts w:eastAsia="方正仿宋_GBK"/>
          <w:b/>
          <w:sz w:val="28"/>
        </w:rPr>
        <w:t>项目支出：</w:t>
      </w:r>
      <w:r>
        <w:rPr>
          <w:rFonts w:eastAsia="方正仿宋_GBK"/>
          <w:sz w:val="28"/>
        </w:rPr>
        <w:t>指在基本支出之外为完成特定行政任务和事业发展目标所发生的支出。</w:t>
      </w:r>
    </w:p>
    <w:p>
      <w:pPr>
        <w:spacing w:line="500" w:lineRule="exact"/>
        <w:ind w:firstLine="560"/>
      </w:pPr>
      <w:r>
        <w:rPr>
          <w:rFonts w:eastAsia="方正仿宋_GBK"/>
          <w:sz w:val="28"/>
        </w:rPr>
        <w:t>6、</w:t>
      </w:r>
      <w:r>
        <w:rPr>
          <w:rFonts w:eastAsia="方正仿宋_GBK"/>
          <w:b/>
          <w:sz w:val="28"/>
        </w:rPr>
        <w:t>上缴上级支出：</w:t>
      </w:r>
      <w:r>
        <w:rPr>
          <w:rFonts w:eastAsia="方正仿宋_GBK"/>
          <w:sz w:val="28"/>
        </w:rPr>
        <w:t>指下级单位上缴上级的支出。</w:t>
      </w:r>
    </w:p>
    <w:p>
      <w:pPr>
        <w:spacing w:line="500" w:lineRule="exact"/>
        <w:ind w:firstLine="560"/>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lang w:eastAsia="zh-CN"/>
        </w:rPr>
        <w:t>市</w:t>
      </w:r>
      <w:r>
        <w:rPr>
          <w:rFonts w:eastAsia="方正仿宋_GBK"/>
          <w:sz w:val="28"/>
        </w:rPr>
        <w:t>级财政预算管理的“三公”经费，是指</w:t>
      </w:r>
      <w:r>
        <w:rPr>
          <w:rFonts w:hint="eastAsia" w:eastAsia="方正仿宋_GBK"/>
          <w:sz w:val="28"/>
          <w:lang w:eastAsia="zh-CN"/>
        </w:rPr>
        <w:t>市</w:t>
      </w:r>
      <w:r>
        <w:rPr>
          <w:rFonts w:eastAsia="方正仿宋_GBK"/>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eastAsia="方正仿宋_GBK"/>
          <w:b/>
          <w:sz w:val="28"/>
        </w:rPr>
        <w:t>机关运行费：</w:t>
      </w:r>
      <w:r>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eastAsia="方正仿宋_GBK"/>
          <w:b/>
          <w:sz w:val="28"/>
        </w:rPr>
        <w:t>上年结转：</w:t>
      </w:r>
      <w:r>
        <w:rPr>
          <w:rFonts w:eastAsia="方正仿宋_GBK"/>
          <w:sz w:val="28"/>
        </w:rPr>
        <w:t>指以前年度尚未完成、结转到本年仍按原规定用途继续使用的资金。</w:t>
      </w:r>
    </w:p>
    <w:p>
      <w:pPr>
        <w:spacing w:line="500" w:lineRule="exact"/>
        <w:ind w:firstLine="560"/>
      </w:pPr>
      <w:r>
        <w:rPr>
          <w:rFonts w:eastAsia="方正仿宋_GBK"/>
          <w:sz w:val="28"/>
        </w:rPr>
        <w:t>10、</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sz w:val="28"/>
        </w:rPr>
        <w:t>我部门无其他需要说明的事</w:t>
      </w:r>
      <w:r>
        <w:rPr>
          <w:rFonts w:hint="eastAsia" w:eastAsia="方正仿宋_GBK"/>
          <w:sz w:val="28"/>
          <w:lang w:eastAsia="zh-CN"/>
        </w:rPr>
        <w:t>项。</w:t>
      </w:r>
    </w:p>
    <w:p>
      <w:pPr>
        <w:spacing w:line="500" w:lineRule="exact"/>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D4F34"/>
    <w:rsid w:val="0014539B"/>
    <w:rsid w:val="00172C37"/>
    <w:rsid w:val="00194DFD"/>
    <w:rsid w:val="001F579F"/>
    <w:rsid w:val="002456DF"/>
    <w:rsid w:val="00350447"/>
    <w:rsid w:val="003756C9"/>
    <w:rsid w:val="003D74E2"/>
    <w:rsid w:val="003E54CE"/>
    <w:rsid w:val="00415C6B"/>
    <w:rsid w:val="0043083F"/>
    <w:rsid w:val="00470AF6"/>
    <w:rsid w:val="004718AD"/>
    <w:rsid w:val="004C34D3"/>
    <w:rsid w:val="004E6ABC"/>
    <w:rsid w:val="0052073E"/>
    <w:rsid w:val="00532624"/>
    <w:rsid w:val="00545735"/>
    <w:rsid w:val="00596C51"/>
    <w:rsid w:val="005B3234"/>
    <w:rsid w:val="00612D56"/>
    <w:rsid w:val="00704D30"/>
    <w:rsid w:val="0074011C"/>
    <w:rsid w:val="007F5BCB"/>
    <w:rsid w:val="00841967"/>
    <w:rsid w:val="00845B04"/>
    <w:rsid w:val="00851B57"/>
    <w:rsid w:val="00864DAE"/>
    <w:rsid w:val="00A17092"/>
    <w:rsid w:val="00A24F29"/>
    <w:rsid w:val="00AA1463"/>
    <w:rsid w:val="00AD4F34"/>
    <w:rsid w:val="00AD7CF7"/>
    <w:rsid w:val="00B6663B"/>
    <w:rsid w:val="00B83AF2"/>
    <w:rsid w:val="00BC0F36"/>
    <w:rsid w:val="00C81778"/>
    <w:rsid w:val="00CA572B"/>
    <w:rsid w:val="00CD1D8D"/>
    <w:rsid w:val="00D4542F"/>
    <w:rsid w:val="00E2239D"/>
    <w:rsid w:val="00E51F6A"/>
    <w:rsid w:val="00E55872"/>
    <w:rsid w:val="00EC7DDE"/>
    <w:rsid w:val="00F57C15"/>
    <w:rsid w:val="00FC6A36"/>
    <w:rsid w:val="04CC47DA"/>
    <w:rsid w:val="0637230F"/>
    <w:rsid w:val="06772F10"/>
    <w:rsid w:val="0C0F788E"/>
    <w:rsid w:val="0C353D06"/>
    <w:rsid w:val="1A9F7997"/>
    <w:rsid w:val="1C401BCF"/>
    <w:rsid w:val="283854CE"/>
    <w:rsid w:val="2BCA3A19"/>
    <w:rsid w:val="2EB125A0"/>
    <w:rsid w:val="300527CA"/>
    <w:rsid w:val="39C42BE0"/>
    <w:rsid w:val="3D8C2749"/>
    <w:rsid w:val="3E707D93"/>
    <w:rsid w:val="3F10352D"/>
    <w:rsid w:val="4129727C"/>
    <w:rsid w:val="442C00FE"/>
    <w:rsid w:val="48DB662F"/>
    <w:rsid w:val="4B5A07D7"/>
    <w:rsid w:val="570955EA"/>
    <w:rsid w:val="573054BA"/>
    <w:rsid w:val="5A0E26D9"/>
    <w:rsid w:val="5A7C1CB9"/>
    <w:rsid w:val="60802818"/>
    <w:rsid w:val="614503EE"/>
    <w:rsid w:val="6EBAF37C"/>
    <w:rsid w:val="6FCB94B1"/>
    <w:rsid w:val="6FFB2DB8"/>
    <w:rsid w:val="706F71C4"/>
    <w:rsid w:val="74B85DD3"/>
    <w:rsid w:val="77C720EE"/>
    <w:rsid w:val="7C483DAE"/>
    <w:rsid w:val="7F9A0A26"/>
    <w:rsid w:val="7FEFE36F"/>
    <w:rsid w:val="CFFD9C6E"/>
    <w:rsid w:val="F74F8BC1"/>
    <w:rsid w:val="FBEF9141"/>
    <w:rsid w:val="FEFD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8"/>
    <w:unhideWhenUsed/>
    <w:qFormat/>
    <w:uiPriority w:val="99"/>
    <w:pPr>
      <w:tabs>
        <w:tab w:val="center" w:pos="4153"/>
        <w:tab w:val="right" w:pos="8306"/>
      </w:tabs>
      <w:snapToGrid w:val="0"/>
    </w:pPr>
    <w:rPr>
      <w:sz w:val="18"/>
      <w:szCs w:val="18"/>
    </w:rPr>
  </w:style>
  <w:style w:type="paragraph" w:styleId="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be718677-a821-4930-8b4a-d1090d276ed0"/>
    <w:qFormat/>
    <w:uiPriority w:val="0"/>
    <w:rPr>
      <w:rFonts w:ascii="Times New Roman" w:hAnsi="Times New Roman" w:eastAsia="Times New Roman" w:cs="Times New Roman"/>
      <w:sz w:val="24"/>
      <w:szCs w:val="24"/>
      <w:lang w:val="en-US" w:eastAsia="uk-UA" w:bidi="ar-SA"/>
    </w:rPr>
  </w:style>
  <w:style w:type="paragraph" w:customStyle="1" w:styleId="25">
    <w:name w:val="单元格样式1_3b1b3f52-ba4c-487a-9043-e7f6712feba4"/>
    <w:basedOn w:val="1"/>
    <w:qFormat/>
    <w:uiPriority w:val="0"/>
    <w:pPr>
      <w:jc w:val="center"/>
    </w:pPr>
    <w:rPr>
      <w:rFonts w:ascii="方正书宋_GBK" w:hAnsi="方正书宋_GBK" w:eastAsia="方正书宋_GBK" w:cs="方正书宋_GBK"/>
      <w:b/>
      <w:sz w:val="21"/>
    </w:rPr>
  </w:style>
  <w:style w:type="paragraph" w:customStyle="1" w:styleId="26">
    <w:name w:val="单元格样式2_b2e1b11e-4456-4b5e-932b-0afdb7791f04"/>
    <w:basedOn w:val="1"/>
    <w:qFormat/>
    <w:uiPriority w:val="0"/>
    <w:rPr>
      <w:rFonts w:ascii="方正书宋_GBK" w:hAnsi="方正书宋_GBK" w:eastAsia="方正书宋_GBK" w:cs="方正书宋_GBK"/>
      <w:sz w:val="21"/>
    </w:rPr>
  </w:style>
  <w:style w:type="paragraph" w:customStyle="1" w:styleId="27">
    <w:name w:val="单元格样式3_34f64e7c-0c65-42db-882c-397b2338709a"/>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目录 21"/>
    <w:basedOn w:val="1"/>
    <w:qFormat/>
    <w:uiPriority w:val="0"/>
    <w:pPr>
      <w:ind w:left="240"/>
    </w:pPr>
  </w:style>
  <w:style w:type="paragraph" w:customStyle="1" w:styleId="34">
    <w:name w:val="目录 31"/>
    <w:basedOn w:val="1"/>
    <w:qFormat/>
    <w:uiPriority w:val="0"/>
    <w:pPr>
      <w:ind w:left="480"/>
    </w:pPr>
  </w:style>
  <w:style w:type="paragraph" w:customStyle="1" w:styleId="35">
    <w:name w:val="目录 41"/>
    <w:basedOn w:val="1"/>
    <w:qFormat/>
    <w:uiPriority w:val="0"/>
    <w:pPr>
      <w:ind w:left="720"/>
    </w:pPr>
  </w:style>
  <w:style w:type="paragraph" w:customStyle="1" w:styleId="36">
    <w:name w:val="目录 11"/>
    <w:basedOn w:val="1"/>
    <w:qFormat/>
    <w:uiPriority w:val="0"/>
    <w:pPr>
      <w:spacing w:before="120"/>
      <w:ind w:firstLine="560"/>
    </w:pPr>
    <w:rPr>
      <w:rFonts w:eastAsia="方正仿宋_GBK"/>
      <w:color w:val="000000"/>
      <w:sz w:val="28"/>
    </w:rPr>
  </w:style>
  <w:style w:type="character" w:customStyle="1" w:styleId="37">
    <w:name w:val="页眉 字符"/>
    <w:basedOn w:val="6"/>
    <w:link w:val="3"/>
    <w:semiHidden/>
    <w:qFormat/>
    <w:uiPriority w:val="99"/>
    <w:rPr>
      <w:rFonts w:eastAsia="Times New Roman"/>
      <w:sz w:val="18"/>
      <w:szCs w:val="18"/>
      <w:lang w:eastAsia="uk-UA"/>
    </w:rPr>
  </w:style>
  <w:style w:type="character" w:customStyle="1" w:styleId="38">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3926</Words>
  <Characters>22382</Characters>
  <Lines>186</Lines>
  <Paragraphs>52</Paragraphs>
  <TotalTime>8</TotalTime>
  <ScaleCrop>false</ScaleCrop>
  <LinksUpToDate>false</LinksUpToDate>
  <CharactersWithSpaces>26256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2022-02-07T23:03:00Z</dcterms:created>
  <dc:creator>Administrator</dc:creator>
  <cp:lastModifiedBy>lenovo</cp:lastModifiedBy>
  <cp:lastPrinted>2022-02-08T23:42:00Z</cp:lastPrinted>
  <dcterms:modified xsi:type="dcterms:W3CDTF">2023-09-22T01:39:15Z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